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82327" w14:textId="77777777" w:rsidR="005C07D3" w:rsidRPr="00521357" w:rsidRDefault="005C07D3" w:rsidP="00492117">
      <w:pPr>
        <w:tabs>
          <w:tab w:val="left" w:pos="3037"/>
        </w:tabs>
        <w:spacing w:line="276" w:lineRule="auto"/>
        <w:ind w:firstLine="0"/>
        <w:jc w:val="center"/>
        <w:rPr>
          <w:rFonts w:cs="Times New Roman"/>
          <w:b/>
          <w:bCs/>
          <w:szCs w:val="24"/>
        </w:rPr>
      </w:pPr>
      <w:bookmarkStart w:id="0" w:name="_Hlk154565538"/>
      <w:bookmarkStart w:id="1" w:name="_GoBack"/>
      <w:bookmarkEnd w:id="0"/>
      <w:bookmarkEnd w:id="1"/>
    </w:p>
    <w:p w14:paraId="0A0936E2" w14:textId="77777777" w:rsidR="005C07D3" w:rsidRPr="00521357" w:rsidRDefault="005C07D3" w:rsidP="00492117">
      <w:pPr>
        <w:tabs>
          <w:tab w:val="left" w:pos="3037"/>
        </w:tabs>
        <w:spacing w:line="276" w:lineRule="auto"/>
        <w:ind w:firstLine="0"/>
        <w:jc w:val="center"/>
        <w:rPr>
          <w:rFonts w:cs="Times New Roman"/>
          <w:b/>
          <w:bCs/>
          <w:szCs w:val="24"/>
        </w:rPr>
      </w:pPr>
    </w:p>
    <w:p w14:paraId="1E8B39EB" w14:textId="77777777" w:rsidR="005C07D3" w:rsidRPr="00521357" w:rsidRDefault="005C07D3" w:rsidP="00492117">
      <w:pPr>
        <w:tabs>
          <w:tab w:val="left" w:pos="3037"/>
        </w:tabs>
        <w:spacing w:line="276" w:lineRule="auto"/>
        <w:ind w:firstLine="0"/>
        <w:jc w:val="center"/>
        <w:rPr>
          <w:rFonts w:cs="Times New Roman"/>
          <w:b/>
          <w:bCs/>
          <w:szCs w:val="24"/>
        </w:rPr>
      </w:pPr>
    </w:p>
    <w:p w14:paraId="5E39C097" w14:textId="77777777" w:rsidR="005C07D3" w:rsidRPr="00521357" w:rsidRDefault="005C07D3" w:rsidP="00492117">
      <w:pPr>
        <w:tabs>
          <w:tab w:val="left" w:pos="3037"/>
        </w:tabs>
        <w:spacing w:line="276" w:lineRule="auto"/>
        <w:ind w:firstLine="0"/>
        <w:jc w:val="center"/>
        <w:rPr>
          <w:rFonts w:cs="Times New Roman"/>
          <w:b/>
          <w:bCs/>
          <w:szCs w:val="24"/>
        </w:rPr>
      </w:pPr>
    </w:p>
    <w:p w14:paraId="689E40FC" w14:textId="77777777" w:rsidR="00492117" w:rsidRPr="00521357" w:rsidRDefault="00B47C97" w:rsidP="00492117">
      <w:pPr>
        <w:tabs>
          <w:tab w:val="left" w:pos="3037"/>
        </w:tabs>
        <w:spacing w:line="276" w:lineRule="auto"/>
        <w:ind w:firstLine="0"/>
        <w:jc w:val="center"/>
        <w:rPr>
          <w:rFonts w:cs="Times New Roman"/>
          <w:b/>
          <w:bCs/>
          <w:szCs w:val="24"/>
        </w:rPr>
      </w:pPr>
      <w:r w:rsidRPr="00521357">
        <w:rPr>
          <w:rFonts w:cs="Times New Roman"/>
          <w:b/>
          <w:bCs/>
          <w:szCs w:val="24"/>
        </w:rPr>
        <w:t xml:space="preserve">NACIONALINIS VISUOMENĖS SVEIKATOS CENTRAS </w:t>
      </w:r>
    </w:p>
    <w:p w14:paraId="1A30057A" w14:textId="77777777" w:rsidR="00B47C97" w:rsidRPr="00521357" w:rsidRDefault="00B47C97" w:rsidP="00492117">
      <w:pPr>
        <w:tabs>
          <w:tab w:val="left" w:pos="3037"/>
        </w:tabs>
        <w:spacing w:line="276" w:lineRule="auto"/>
        <w:ind w:firstLine="0"/>
        <w:jc w:val="center"/>
        <w:rPr>
          <w:rFonts w:cs="Times New Roman"/>
          <w:b/>
          <w:bCs/>
          <w:szCs w:val="24"/>
        </w:rPr>
      </w:pPr>
      <w:r w:rsidRPr="00521357">
        <w:rPr>
          <w:rFonts w:cs="Times New Roman"/>
          <w:b/>
          <w:bCs/>
          <w:szCs w:val="24"/>
        </w:rPr>
        <w:t>PRIE SVEIKATOS APSAUGOS MINISTERIJOS</w:t>
      </w:r>
    </w:p>
    <w:p w14:paraId="3F4ECB73" w14:textId="77777777" w:rsidR="00F92FAC" w:rsidRPr="00521357" w:rsidRDefault="00F92FAC" w:rsidP="00492117">
      <w:pPr>
        <w:tabs>
          <w:tab w:val="left" w:pos="3037"/>
        </w:tabs>
        <w:spacing w:line="276" w:lineRule="auto"/>
        <w:ind w:firstLine="0"/>
        <w:jc w:val="center"/>
        <w:rPr>
          <w:rFonts w:cs="Times New Roman"/>
          <w:b/>
          <w:bCs/>
          <w:szCs w:val="24"/>
        </w:rPr>
      </w:pPr>
    </w:p>
    <w:p w14:paraId="4CDFC21C" w14:textId="77777777" w:rsidR="00492117" w:rsidRPr="00521357" w:rsidRDefault="00492117" w:rsidP="00492117">
      <w:pPr>
        <w:tabs>
          <w:tab w:val="left" w:pos="3037"/>
        </w:tabs>
        <w:spacing w:line="276" w:lineRule="auto"/>
        <w:ind w:firstLine="0"/>
        <w:jc w:val="center"/>
        <w:rPr>
          <w:rFonts w:cs="Times New Roman"/>
          <w:b/>
          <w:bCs/>
          <w:szCs w:val="24"/>
        </w:rPr>
      </w:pPr>
    </w:p>
    <w:p w14:paraId="3F268304" w14:textId="77777777" w:rsidR="00492117" w:rsidRPr="00521357" w:rsidRDefault="00492117" w:rsidP="00492117">
      <w:pPr>
        <w:tabs>
          <w:tab w:val="left" w:pos="3037"/>
        </w:tabs>
        <w:spacing w:line="276" w:lineRule="auto"/>
        <w:ind w:firstLine="0"/>
        <w:jc w:val="center"/>
        <w:rPr>
          <w:rFonts w:cs="Times New Roman"/>
          <w:b/>
          <w:bCs/>
          <w:szCs w:val="24"/>
        </w:rPr>
      </w:pPr>
    </w:p>
    <w:p w14:paraId="437CF7EF" w14:textId="77777777" w:rsidR="00492117" w:rsidRPr="00521357" w:rsidRDefault="00492117" w:rsidP="00492117">
      <w:pPr>
        <w:tabs>
          <w:tab w:val="left" w:pos="3037"/>
        </w:tabs>
        <w:spacing w:line="276" w:lineRule="auto"/>
        <w:ind w:firstLine="0"/>
        <w:jc w:val="center"/>
        <w:rPr>
          <w:rFonts w:cs="Times New Roman"/>
          <w:b/>
          <w:bCs/>
          <w:szCs w:val="24"/>
        </w:rPr>
      </w:pPr>
    </w:p>
    <w:p w14:paraId="2C40709B" w14:textId="77777777" w:rsidR="005C07D3" w:rsidRPr="00521357" w:rsidRDefault="005C07D3" w:rsidP="00492117">
      <w:pPr>
        <w:tabs>
          <w:tab w:val="left" w:pos="3037"/>
        </w:tabs>
        <w:spacing w:line="276" w:lineRule="auto"/>
        <w:ind w:firstLine="0"/>
        <w:jc w:val="center"/>
        <w:rPr>
          <w:rFonts w:cs="Times New Roman"/>
          <w:b/>
          <w:bCs/>
          <w:szCs w:val="24"/>
        </w:rPr>
      </w:pPr>
    </w:p>
    <w:p w14:paraId="3F2CA98C" w14:textId="77777777" w:rsidR="005C07D3" w:rsidRPr="00521357" w:rsidRDefault="005C07D3" w:rsidP="00492117">
      <w:pPr>
        <w:tabs>
          <w:tab w:val="left" w:pos="3037"/>
        </w:tabs>
        <w:spacing w:line="276" w:lineRule="auto"/>
        <w:ind w:firstLine="0"/>
        <w:jc w:val="center"/>
        <w:rPr>
          <w:rFonts w:cs="Times New Roman"/>
          <w:b/>
          <w:bCs/>
          <w:szCs w:val="24"/>
        </w:rPr>
      </w:pPr>
    </w:p>
    <w:p w14:paraId="2F714563" w14:textId="77777777" w:rsidR="005C07D3" w:rsidRPr="00521357" w:rsidRDefault="005C07D3" w:rsidP="00492117">
      <w:pPr>
        <w:tabs>
          <w:tab w:val="left" w:pos="3037"/>
        </w:tabs>
        <w:spacing w:line="276" w:lineRule="auto"/>
        <w:ind w:firstLine="0"/>
        <w:jc w:val="center"/>
        <w:rPr>
          <w:rFonts w:cs="Times New Roman"/>
          <w:b/>
          <w:bCs/>
          <w:szCs w:val="24"/>
        </w:rPr>
      </w:pPr>
    </w:p>
    <w:p w14:paraId="277FC587" w14:textId="77777777" w:rsidR="005C07D3" w:rsidRPr="00521357" w:rsidRDefault="005C07D3" w:rsidP="00492117">
      <w:pPr>
        <w:tabs>
          <w:tab w:val="left" w:pos="3037"/>
        </w:tabs>
        <w:spacing w:line="276" w:lineRule="auto"/>
        <w:ind w:firstLine="0"/>
        <w:jc w:val="center"/>
        <w:rPr>
          <w:rFonts w:cs="Times New Roman"/>
          <w:b/>
          <w:bCs/>
          <w:szCs w:val="24"/>
        </w:rPr>
      </w:pPr>
    </w:p>
    <w:p w14:paraId="6BC9885C" w14:textId="77777777" w:rsidR="005C07D3" w:rsidRPr="00521357" w:rsidRDefault="005C07D3" w:rsidP="00492117">
      <w:pPr>
        <w:tabs>
          <w:tab w:val="left" w:pos="3037"/>
        </w:tabs>
        <w:spacing w:line="276" w:lineRule="auto"/>
        <w:ind w:firstLine="0"/>
        <w:jc w:val="center"/>
        <w:rPr>
          <w:rFonts w:cs="Times New Roman"/>
          <w:b/>
          <w:bCs/>
          <w:szCs w:val="24"/>
        </w:rPr>
      </w:pPr>
    </w:p>
    <w:p w14:paraId="2D8113BB" w14:textId="77777777" w:rsidR="00492117" w:rsidRPr="00521357" w:rsidRDefault="00492117" w:rsidP="00492117">
      <w:pPr>
        <w:tabs>
          <w:tab w:val="left" w:pos="3037"/>
        </w:tabs>
        <w:spacing w:line="276" w:lineRule="auto"/>
        <w:ind w:firstLine="0"/>
        <w:jc w:val="center"/>
        <w:rPr>
          <w:rFonts w:cs="Times New Roman"/>
          <w:b/>
          <w:bCs/>
          <w:szCs w:val="24"/>
        </w:rPr>
      </w:pPr>
    </w:p>
    <w:p w14:paraId="4BDEAC66" w14:textId="59C2F1D1" w:rsidR="00B47C97" w:rsidRPr="00521357" w:rsidRDefault="00B47C97" w:rsidP="00492117">
      <w:pPr>
        <w:tabs>
          <w:tab w:val="left" w:pos="3037"/>
        </w:tabs>
        <w:spacing w:line="276" w:lineRule="auto"/>
        <w:ind w:firstLine="0"/>
        <w:jc w:val="center"/>
        <w:rPr>
          <w:rFonts w:cs="Times New Roman"/>
          <w:szCs w:val="24"/>
        </w:rPr>
      </w:pPr>
      <w:r w:rsidRPr="00521357">
        <w:rPr>
          <w:rFonts w:cs="Times New Roman"/>
          <w:b/>
          <w:bCs/>
          <w:szCs w:val="24"/>
        </w:rPr>
        <w:t xml:space="preserve">PRIEŠLAIKINIŲ MIRČIŲ, PRISKIRIAMŲ ILGALAIKIAM KIETŲJŲ DALELIŲ POVEIKIUI, VILNIAUS, KAUNO, KLAIPĖDOS, PANEVĖŽIO, ŠIAULIŲ, MAŽEIKIŲ, NAUJOSIOS AKMENĖS, JONAVOS IR KĖDAINIŲ MIESTUOSE </w:t>
      </w:r>
      <w:r w:rsidR="00B24BB3" w:rsidRPr="00521357">
        <w:rPr>
          <w:rFonts w:cs="Times New Roman"/>
          <w:b/>
          <w:bCs/>
          <w:szCs w:val="24"/>
        </w:rPr>
        <w:t xml:space="preserve">POKYČIŲ TENDENCIJOS </w:t>
      </w:r>
      <w:r w:rsidRPr="00521357">
        <w:rPr>
          <w:rFonts w:cs="Times New Roman"/>
          <w:b/>
          <w:bCs/>
          <w:szCs w:val="24"/>
        </w:rPr>
        <w:t>20</w:t>
      </w:r>
      <w:r w:rsidR="00CA4C3F" w:rsidRPr="00521357">
        <w:rPr>
          <w:rFonts w:cs="Times New Roman"/>
          <w:b/>
          <w:bCs/>
          <w:szCs w:val="24"/>
        </w:rPr>
        <w:t>15</w:t>
      </w:r>
      <w:r w:rsidR="00492117" w:rsidRPr="00521357">
        <w:rPr>
          <w:rFonts w:cs="Times New Roman"/>
          <w:b/>
          <w:bCs/>
          <w:szCs w:val="24"/>
        </w:rPr>
        <w:t>–</w:t>
      </w:r>
      <w:r w:rsidRPr="00521357">
        <w:rPr>
          <w:rFonts w:cs="Times New Roman"/>
          <w:b/>
          <w:bCs/>
          <w:szCs w:val="24"/>
        </w:rPr>
        <w:t>202</w:t>
      </w:r>
      <w:r w:rsidR="00FB4C6C" w:rsidRPr="00521357">
        <w:rPr>
          <w:rFonts w:cs="Times New Roman"/>
          <w:b/>
          <w:bCs/>
          <w:szCs w:val="24"/>
        </w:rPr>
        <w:t>3</w:t>
      </w:r>
      <w:r w:rsidRPr="00521357">
        <w:rPr>
          <w:rFonts w:cs="Times New Roman"/>
          <w:b/>
          <w:bCs/>
          <w:szCs w:val="24"/>
        </w:rPr>
        <w:t xml:space="preserve"> </w:t>
      </w:r>
      <w:r w:rsidR="00B24BB3" w:rsidRPr="00521357">
        <w:rPr>
          <w:rFonts w:cs="Times New Roman"/>
          <w:b/>
          <w:bCs/>
          <w:szCs w:val="24"/>
        </w:rPr>
        <w:t>METAIS</w:t>
      </w:r>
    </w:p>
    <w:p w14:paraId="38889920" w14:textId="77777777" w:rsidR="00B47C97" w:rsidRPr="00521357" w:rsidRDefault="00B47C97" w:rsidP="00492117">
      <w:pPr>
        <w:tabs>
          <w:tab w:val="left" w:pos="3037"/>
        </w:tabs>
        <w:spacing w:line="276" w:lineRule="auto"/>
        <w:ind w:firstLine="0"/>
        <w:jc w:val="center"/>
        <w:rPr>
          <w:rFonts w:cs="Times New Roman"/>
          <w:szCs w:val="24"/>
        </w:rPr>
      </w:pPr>
    </w:p>
    <w:p w14:paraId="6B6732D2" w14:textId="77777777" w:rsidR="00B47C97" w:rsidRPr="00521357" w:rsidRDefault="00B47C97" w:rsidP="00492117">
      <w:pPr>
        <w:tabs>
          <w:tab w:val="left" w:pos="3037"/>
        </w:tabs>
        <w:spacing w:line="276" w:lineRule="auto"/>
        <w:ind w:firstLine="0"/>
        <w:jc w:val="center"/>
        <w:rPr>
          <w:rFonts w:cs="Times New Roman"/>
          <w:szCs w:val="24"/>
        </w:rPr>
      </w:pPr>
    </w:p>
    <w:p w14:paraId="71158617" w14:textId="77777777" w:rsidR="00B47C97" w:rsidRPr="00521357" w:rsidRDefault="00B47C97" w:rsidP="00492117">
      <w:pPr>
        <w:tabs>
          <w:tab w:val="left" w:pos="3037"/>
        </w:tabs>
        <w:ind w:firstLine="0"/>
        <w:jc w:val="center"/>
        <w:rPr>
          <w:rFonts w:cs="Times New Roman"/>
          <w:szCs w:val="24"/>
        </w:rPr>
      </w:pPr>
    </w:p>
    <w:p w14:paraId="61C61E75" w14:textId="77777777" w:rsidR="00B47C97" w:rsidRPr="00521357" w:rsidRDefault="00B47C97" w:rsidP="00B47C97">
      <w:pPr>
        <w:tabs>
          <w:tab w:val="left" w:pos="3037"/>
        </w:tabs>
        <w:jc w:val="center"/>
        <w:rPr>
          <w:rFonts w:cs="Times New Roman"/>
          <w:szCs w:val="24"/>
        </w:rPr>
      </w:pPr>
    </w:p>
    <w:p w14:paraId="088B6352" w14:textId="77777777" w:rsidR="00B47C97" w:rsidRPr="00521357" w:rsidRDefault="00B47C97" w:rsidP="00B47C97">
      <w:pPr>
        <w:tabs>
          <w:tab w:val="left" w:pos="3037"/>
        </w:tabs>
        <w:jc w:val="center"/>
        <w:rPr>
          <w:rFonts w:cs="Times New Roman"/>
          <w:szCs w:val="24"/>
        </w:rPr>
      </w:pPr>
    </w:p>
    <w:p w14:paraId="666DFB15" w14:textId="77777777" w:rsidR="00B47C97" w:rsidRPr="00521357" w:rsidRDefault="00B47C97" w:rsidP="00B47C97">
      <w:pPr>
        <w:tabs>
          <w:tab w:val="left" w:pos="3037"/>
        </w:tabs>
        <w:jc w:val="center"/>
        <w:rPr>
          <w:rFonts w:cs="Times New Roman"/>
          <w:szCs w:val="24"/>
        </w:rPr>
      </w:pPr>
    </w:p>
    <w:p w14:paraId="24463A9C" w14:textId="77777777" w:rsidR="00B47C97" w:rsidRPr="00521357" w:rsidRDefault="00B47C97" w:rsidP="00B47C97">
      <w:pPr>
        <w:tabs>
          <w:tab w:val="left" w:pos="3037"/>
        </w:tabs>
        <w:jc w:val="center"/>
        <w:rPr>
          <w:rFonts w:cs="Times New Roman"/>
          <w:szCs w:val="24"/>
        </w:rPr>
      </w:pPr>
    </w:p>
    <w:p w14:paraId="35432E51" w14:textId="77777777" w:rsidR="00492117" w:rsidRPr="00521357" w:rsidRDefault="00492117" w:rsidP="00B47C97">
      <w:pPr>
        <w:tabs>
          <w:tab w:val="left" w:pos="3037"/>
        </w:tabs>
        <w:jc w:val="center"/>
        <w:rPr>
          <w:rFonts w:cs="Times New Roman"/>
          <w:szCs w:val="24"/>
        </w:rPr>
      </w:pPr>
    </w:p>
    <w:p w14:paraId="6D54A361" w14:textId="77777777" w:rsidR="00492117" w:rsidRPr="00521357" w:rsidRDefault="00492117" w:rsidP="00B47C97">
      <w:pPr>
        <w:tabs>
          <w:tab w:val="left" w:pos="3037"/>
        </w:tabs>
        <w:jc w:val="center"/>
        <w:rPr>
          <w:rFonts w:cs="Times New Roman"/>
          <w:szCs w:val="24"/>
        </w:rPr>
      </w:pPr>
    </w:p>
    <w:p w14:paraId="630CA4CA" w14:textId="77777777" w:rsidR="00B47C97" w:rsidRPr="00521357" w:rsidRDefault="00B47C97" w:rsidP="00B47C97">
      <w:pPr>
        <w:tabs>
          <w:tab w:val="left" w:pos="3037"/>
        </w:tabs>
        <w:jc w:val="center"/>
        <w:rPr>
          <w:rFonts w:cs="Times New Roman"/>
          <w:szCs w:val="24"/>
        </w:rPr>
      </w:pPr>
    </w:p>
    <w:p w14:paraId="771AD097" w14:textId="77777777" w:rsidR="00B47C97" w:rsidRPr="00521357" w:rsidRDefault="00B47C97" w:rsidP="00B47C97">
      <w:pPr>
        <w:tabs>
          <w:tab w:val="left" w:pos="3037"/>
        </w:tabs>
        <w:jc w:val="center"/>
        <w:rPr>
          <w:rFonts w:cs="Times New Roman"/>
          <w:szCs w:val="24"/>
        </w:rPr>
      </w:pPr>
    </w:p>
    <w:p w14:paraId="5AC130AF" w14:textId="77777777" w:rsidR="00B47C97" w:rsidRPr="00521357" w:rsidRDefault="00B47C97" w:rsidP="00B47C97">
      <w:pPr>
        <w:tabs>
          <w:tab w:val="left" w:pos="3037"/>
        </w:tabs>
        <w:jc w:val="center"/>
        <w:rPr>
          <w:rFonts w:cs="Times New Roman"/>
          <w:szCs w:val="24"/>
        </w:rPr>
      </w:pPr>
    </w:p>
    <w:p w14:paraId="40757EEB" w14:textId="77777777" w:rsidR="00B47C97" w:rsidRPr="00521357" w:rsidRDefault="00B47C97" w:rsidP="00B47C97">
      <w:pPr>
        <w:tabs>
          <w:tab w:val="left" w:pos="3037"/>
        </w:tabs>
        <w:jc w:val="center"/>
        <w:rPr>
          <w:rFonts w:cs="Times New Roman"/>
          <w:szCs w:val="24"/>
        </w:rPr>
      </w:pPr>
    </w:p>
    <w:p w14:paraId="7692D2F0" w14:textId="77777777" w:rsidR="00492117" w:rsidRPr="00521357" w:rsidRDefault="00492117" w:rsidP="00B47C97">
      <w:pPr>
        <w:tabs>
          <w:tab w:val="left" w:pos="3037"/>
        </w:tabs>
        <w:jc w:val="center"/>
        <w:rPr>
          <w:rFonts w:cs="Times New Roman"/>
          <w:szCs w:val="24"/>
        </w:rPr>
      </w:pPr>
    </w:p>
    <w:p w14:paraId="79B32BA8" w14:textId="77777777" w:rsidR="00492117" w:rsidRPr="00521357" w:rsidRDefault="00492117" w:rsidP="00B47C97">
      <w:pPr>
        <w:tabs>
          <w:tab w:val="left" w:pos="3037"/>
        </w:tabs>
        <w:jc w:val="center"/>
        <w:rPr>
          <w:rFonts w:cs="Times New Roman"/>
          <w:szCs w:val="24"/>
        </w:rPr>
      </w:pPr>
    </w:p>
    <w:p w14:paraId="699ED094" w14:textId="77777777" w:rsidR="00C0538B" w:rsidRPr="00521357" w:rsidRDefault="00C0538B" w:rsidP="00B47C97">
      <w:pPr>
        <w:tabs>
          <w:tab w:val="left" w:pos="3037"/>
        </w:tabs>
        <w:jc w:val="center"/>
        <w:rPr>
          <w:rFonts w:cs="Times New Roman"/>
          <w:szCs w:val="24"/>
        </w:rPr>
      </w:pPr>
    </w:p>
    <w:p w14:paraId="0CB4A40C" w14:textId="77777777" w:rsidR="00C0538B" w:rsidRPr="00521357" w:rsidRDefault="00C0538B" w:rsidP="00B47C97">
      <w:pPr>
        <w:tabs>
          <w:tab w:val="left" w:pos="3037"/>
        </w:tabs>
        <w:jc w:val="center"/>
        <w:rPr>
          <w:rFonts w:cs="Times New Roman"/>
          <w:szCs w:val="24"/>
        </w:rPr>
      </w:pPr>
    </w:p>
    <w:p w14:paraId="09061184" w14:textId="77777777" w:rsidR="00C0538B" w:rsidRPr="00521357" w:rsidRDefault="00C0538B" w:rsidP="00B47C97">
      <w:pPr>
        <w:tabs>
          <w:tab w:val="left" w:pos="3037"/>
        </w:tabs>
        <w:jc w:val="center"/>
        <w:rPr>
          <w:rFonts w:cs="Times New Roman"/>
          <w:szCs w:val="24"/>
        </w:rPr>
      </w:pPr>
    </w:p>
    <w:p w14:paraId="48DAAE6C" w14:textId="77777777" w:rsidR="00492117" w:rsidRPr="00521357" w:rsidRDefault="00492117" w:rsidP="00492117">
      <w:pPr>
        <w:tabs>
          <w:tab w:val="left" w:pos="3037"/>
        </w:tabs>
        <w:ind w:firstLine="0"/>
        <w:jc w:val="center"/>
        <w:rPr>
          <w:rFonts w:cs="Times New Roman"/>
          <w:szCs w:val="24"/>
        </w:rPr>
      </w:pPr>
    </w:p>
    <w:p w14:paraId="08624B4A" w14:textId="77777777" w:rsidR="00B47C97" w:rsidRPr="00521357" w:rsidRDefault="00B47C97" w:rsidP="00492117">
      <w:pPr>
        <w:tabs>
          <w:tab w:val="left" w:pos="3037"/>
        </w:tabs>
        <w:ind w:firstLine="0"/>
        <w:jc w:val="center"/>
        <w:rPr>
          <w:rFonts w:cs="Times New Roman"/>
          <w:szCs w:val="24"/>
        </w:rPr>
      </w:pPr>
    </w:p>
    <w:p w14:paraId="3DEF187F" w14:textId="77777777" w:rsidR="00285038" w:rsidRPr="00521357" w:rsidRDefault="00285038" w:rsidP="00492117">
      <w:pPr>
        <w:tabs>
          <w:tab w:val="left" w:pos="3037"/>
        </w:tabs>
        <w:ind w:firstLine="0"/>
        <w:jc w:val="center"/>
        <w:rPr>
          <w:rFonts w:cs="Times New Roman"/>
          <w:szCs w:val="24"/>
        </w:rPr>
      </w:pPr>
    </w:p>
    <w:p w14:paraId="188B85F9" w14:textId="52CA8585" w:rsidR="00F82440" w:rsidRPr="00521357" w:rsidRDefault="00B47C97" w:rsidP="00492117">
      <w:pPr>
        <w:tabs>
          <w:tab w:val="left" w:pos="3037"/>
        </w:tabs>
        <w:ind w:firstLine="0"/>
        <w:jc w:val="center"/>
        <w:rPr>
          <w:rFonts w:cs="Times New Roman"/>
          <w:b/>
          <w:bCs/>
          <w:szCs w:val="24"/>
        </w:rPr>
      </w:pPr>
      <w:r w:rsidRPr="00521357">
        <w:rPr>
          <w:rFonts w:cs="Times New Roman"/>
          <w:b/>
          <w:bCs/>
          <w:szCs w:val="24"/>
        </w:rPr>
        <w:t>Vilnius, 202</w:t>
      </w:r>
      <w:r w:rsidR="00B24BB3" w:rsidRPr="00521357">
        <w:rPr>
          <w:rFonts w:cs="Times New Roman"/>
          <w:b/>
          <w:bCs/>
          <w:szCs w:val="24"/>
        </w:rPr>
        <w:t>4</w:t>
      </w:r>
    </w:p>
    <w:p w14:paraId="3B9F6006" w14:textId="77777777" w:rsidR="00F82440" w:rsidRPr="00521357" w:rsidRDefault="00F82440" w:rsidP="00492117">
      <w:pPr>
        <w:spacing w:after="160"/>
        <w:ind w:firstLine="0"/>
        <w:rPr>
          <w:rFonts w:cs="Times New Roman"/>
          <w:b/>
          <w:bCs/>
          <w:szCs w:val="24"/>
        </w:rPr>
      </w:pPr>
      <w:r w:rsidRPr="00521357">
        <w:rPr>
          <w:rFonts w:cs="Times New Roman"/>
          <w:b/>
          <w:bCs/>
          <w:szCs w:val="24"/>
        </w:rPr>
        <w:br w:type="page"/>
      </w:r>
    </w:p>
    <w:p w14:paraId="6C33935A" w14:textId="77777777" w:rsidR="00B47C97" w:rsidRPr="00521357" w:rsidRDefault="00B47C97" w:rsidP="00B47C97">
      <w:pPr>
        <w:tabs>
          <w:tab w:val="left" w:pos="3037"/>
        </w:tabs>
        <w:jc w:val="center"/>
        <w:rPr>
          <w:rFonts w:cs="Times New Roman"/>
          <w:b/>
          <w:bCs/>
          <w:szCs w:val="24"/>
        </w:rPr>
      </w:pPr>
    </w:p>
    <w:p w14:paraId="11A8E759" w14:textId="506F82E9" w:rsidR="00B47C97" w:rsidRPr="00521357" w:rsidRDefault="001A6221" w:rsidP="00160C5E">
      <w:pPr>
        <w:pStyle w:val="Antrat1"/>
        <w:rPr>
          <w:rFonts w:cs="Times New Roman"/>
          <w:sz w:val="24"/>
          <w:szCs w:val="24"/>
        </w:rPr>
      </w:pPr>
      <w:r w:rsidRPr="00521357">
        <w:rPr>
          <w:rFonts w:cs="Times New Roman"/>
          <w:sz w:val="24"/>
          <w:szCs w:val="24"/>
        </w:rPr>
        <w:t>ĮVADAS</w:t>
      </w:r>
    </w:p>
    <w:p w14:paraId="3AF4314D" w14:textId="5B0E9F83" w:rsidR="00D1170A" w:rsidRDefault="002E0713" w:rsidP="00FD0C90">
      <w:pPr>
        <w:pStyle w:val="Sraopastraipa"/>
        <w:tabs>
          <w:tab w:val="left" w:pos="3037"/>
        </w:tabs>
        <w:ind w:left="0"/>
        <w:jc w:val="both"/>
        <w:rPr>
          <w:rFonts w:cs="Times New Roman"/>
          <w:szCs w:val="24"/>
        </w:rPr>
      </w:pPr>
      <w:r w:rsidRPr="00185E50">
        <w:rPr>
          <w:rFonts w:cs="Times New Roman"/>
          <w:szCs w:val="24"/>
        </w:rPr>
        <w:t>Nacionalini</w:t>
      </w:r>
      <w:r w:rsidR="00AB5D34" w:rsidRPr="00185E50">
        <w:rPr>
          <w:rFonts w:cs="Times New Roman"/>
          <w:szCs w:val="24"/>
        </w:rPr>
        <w:t>s</w:t>
      </w:r>
      <w:r w:rsidRPr="00185E50">
        <w:rPr>
          <w:rFonts w:cs="Times New Roman"/>
          <w:szCs w:val="24"/>
        </w:rPr>
        <w:t xml:space="preserve"> visuomenės sveikatos centr</w:t>
      </w:r>
      <w:r w:rsidR="00AB5D34" w:rsidRPr="00185E50">
        <w:rPr>
          <w:rFonts w:cs="Times New Roman"/>
          <w:szCs w:val="24"/>
        </w:rPr>
        <w:t>as</w:t>
      </w:r>
      <w:r w:rsidRPr="00185E50">
        <w:rPr>
          <w:rFonts w:cs="Times New Roman"/>
          <w:szCs w:val="24"/>
        </w:rPr>
        <w:t xml:space="preserve"> prie Sveikatos apsaugos ministerijos (toliau – NVSC)</w:t>
      </w:r>
      <w:r w:rsidR="002E66F9" w:rsidRPr="00185E50">
        <w:rPr>
          <w:rFonts w:cs="Times New Roman"/>
          <w:szCs w:val="24"/>
        </w:rPr>
        <w:t>,</w:t>
      </w:r>
      <w:r w:rsidRPr="00185E50">
        <w:rPr>
          <w:rFonts w:cs="Times New Roman"/>
          <w:szCs w:val="24"/>
        </w:rPr>
        <w:t xml:space="preserve"> vykdy</w:t>
      </w:r>
      <w:r w:rsidR="00AB5D34" w:rsidRPr="00185E50">
        <w:rPr>
          <w:rFonts w:cs="Times New Roman"/>
          <w:szCs w:val="24"/>
        </w:rPr>
        <w:t>damas</w:t>
      </w:r>
      <w:r w:rsidRPr="00185E50">
        <w:rPr>
          <w:rFonts w:cs="Times New Roman"/>
          <w:szCs w:val="24"/>
        </w:rPr>
        <w:t xml:space="preserve"> </w:t>
      </w:r>
      <w:r w:rsidR="002E66F9" w:rsidRPr="00185E50">
        <w:rPr>
          <w:rFonts w:cs="Times New Roman"/>
          <w:szCs w:val="24"/>
        </w:rPr>
        <w:t xml:space="preserve">Nacionalinio oro taršos mažinimo plano tikslų, uždavinių įgyvendinimo priemonių plano, patvirtinto </w:t>
      </w:r>
      <w:r w:rsidRPr="00185E50">
        <w:rPr>
          <w:rFonts w:cs="Times New Roman"/>
          <w:szCs w:val="24"/>
        </w:rPr>
        <w:t>Lietuvos Respublikos Vyriausybės 2019 m. balandžio 17 d. nutarimu Nr.</w:t>
      </w:r>
      <w:r w:rsidR="002E66F9" w:rsidRPr="00185E50">
        <w:rPr>
          <w:rFonts w:cs="Times New Roman"/>
          <w:szCs w:val="24"/>
        </w:rPr>
        <w:t> </w:t>
      </w:r>
      <w:r w:rsidRPr="00185E50">
        <w:rPr>
          <w:rFonts w:cs="Times New Roman"/>
          <w:szCs w:val="24"/>
        </w:rPr>
        <w:t xml:space="preserve">371 </w:t>
      </w:r>
      <w:r w:rsidR="002E66F9" w:rsidRPr="00185E50">
        <w:rPr>
          <w:rFonts w:cs="Times New Roman"/>
          <w:szCs w:val="24"/>
        </w:rPr>
        <w:t>„Dėl Nacionalinio oro taršos mažinimo plano patvirtinimo“, 26 priemonę „</w:t>
      </w:r>
      <w:r w:rsidR="00185E50" w:rsidRPr="00185E50">
        <w:rPr>
          <w:rFonts w:cs="Times New Roman"/>
          <w:szCs w:val="24"/>
        </w:rPr>
        <w:t>Aplinkos oro taršos poveikio sveikatai vertinimo stiprinimas</w:t>
      </w:r>
      <w:r w:rsidR="002E66F9">
        <w:rPr>
          <w:rFonts w:cs="Times New Roman"/>
          <w:szCs w:val="24"/>
        </w:rPr>
        <w:t>“</w:t>
      </w:r>
      <w:r w:rsidR="00185E50">
        <w:rPr>
          <w:rFonts w:cs="Times New Roman"/>
          <w:szCs w:val="24"/>
        </w:rPr>
        <w:t>,</w:t>
      </w:r>
      <w:r w:rsidR="002E66F9">
        <w:rPr>
          <w:rFonts w:cs="Times New Roman"/>
          <w:szCs w:val="24"/>
        </w:rPr>
        <w:t xml:space="preserve"> </w:t>
      </w:r>
      <w:r w:rsidR="00AB5D34" w:rsidRPr="00521357">
        <w:rPr>
          <w:rFonts w:cs="Times New Roman"/>
          <w:szCs w:val="24"/>
        </w:rPr>
        <w:t>parengė</w:t>
      </w:r>
      <w:r w:rsidRPr="00521357">
        <w:rPr>
          <w:rFonts w:cs="Times New Roman"/>
          <w:szCs w:val="24"/>
        </w:rPr>
        <w:t xml:space="preserve"> Vilniaus, Kauno, Klaipėdos, Panevėžio, Šiaulių, Mažeikių, Naujosios Akmenės, Jonavos ir Kėdainių aplinkos oro užterštumo mažesnio kaip 2,5 μm aerodinaminio skersmens kietųjų dalelių (</w:t>
      </w:r>
      <w:r w:rsidR="00D1170A" w:rsidRPr="00521357">
        <w:rPr>
          <w:rFonts w:cs="Times New Roman"/>
          <w:szCs w:val="24"/>
        </w:rPr>
        <w:t xml:space="preserve">toliau </w:t>
      </w:r>
      <w:r w:rsidR="00492117" w:rsidRPr="00521357">
        <w:rPr>
          <w:rFonts w:cs="Times New Roman"/>
          <w:szCs w:val="24"/>
        </w:rPr>
        <w:t>–</w:t>
      </w:r>
      <w:r w:rsidR="00D1170A" w:rsidRPr="00521357">
        <w:rPr>
          <w:rFonts w:cs="Times New Roman"/>
          <w:szCs w:val="24"/>
        </w:rPr>
        <w:t xml:space="preserve"> </w:t>
      </w:r>
      <w:r w:rsidRPr="00521357">
        <w:rPr>
          <w:rFonts w:cs="Times New Roman"/>
          <w:szCs w:val="24"/>
        </w:rPr>
        <w:t xml:space="preserve">KD2,5) poveikio </w:t>
      </w:r>
      <w:r w:rsidR="00AB5D34" w:rsidRPr="00521357">
        <w:rPr>
          <w:rFonts w:cs="Times New Roman"/>
          <w:szCs w:val="24"/>
        </w:rPr>
        <w:t xml:space="preserve">visuomenės </w:t>
      </w:r>
      <w:r w:rsidRPr="00521357">
        <w:rPr>
          <w:rFonts w:cs="Times New Roman"/>
          <w:szCs w:val="24"/>
        </w:rPr>
        <w:t xml:space="preserve">sveikatai vertinimą </w:t>
      </w:r>
      <w:r w:rsidR="001A6221" w:rsidRPr="00521357">
        <w:rPr>
          <w:rFonts w:cs="Times New Roman"/>
          <w:szCs w:val="24"/>
        </w:rPr>
        <w:t>2015–202</w:t>
      </w:r>
      <w:r w:rsidR="00F23B98" w:rsidRPr="00521357">
        <w:rPr>
          <w:rFonts w:cs="Times New Roman"/>
          <w:szCs w:val="24"/>
        </w:rPr>
        <w:t>3</w:t>
      </w:r>
      <w:r w:rsidR="001A6221" w:rsidRPr="00521357">
        <w:rPr>
          <w:rFonts w:cs="Times New Roman"/>
          <w:szCs w:val="24"/>
        </w:rPr>
        <w:t xml:space="preserve"> m. laikotarpiu.</w:t>
      </w:r>
    </w:p>
    <w:p w14:paraId="4514324F" w14:textId="77777777" w:rsidR="00160C5E" w:rsidRPr="00521357" w:rsidRDefault="00D1170A" w:rsidP="00160C5E">
      <w:pPr>
        <w:pStyle w:val="Sraopastraipa"/>
        <w:tabs>
          <w:tab w:val="left" w:pos="3037"/>
        </w:tabs>
        <w:ind w:left="0"/>
        <w:jc w:val="both"/>
        <w:rPr>
          <w:rFonts w:cs="Times New Roman"/>
          <w:szCs w:val="24"/>
        </w:rPr>
      </w:pPr>
      <w:r w:rsidRPr="00521357">
        <w:rPr>
          <w:rFonts w:cs="Times New Roman"/>
          <w:szCs w:val="24"/>
        </w:rPr>
        <w:t>Šis</w:t>
      </w:r>
      <w:r w:rsidR="007B6ACD" w:rsidRPr="00521357">
        <w:rPr>
          <w:rFonts w:cs="Times New Roman"/>
          <w:szCs w:val="24"/>
        </w:rPr>
        <w:t xml:space="preserve"> </w:t>
      </w:r>
      <w:r w:rsidRPr="00521357">
        <w:rPr>
          <w:rFonts w:cs="Times New Roman"/>
          <w:szCs w:val="24"/>
        </w:rPr>
        <w:t>aplinkos oro taršos poveikio sveikatai vertinimas</w:t>
      </w:r>
      <w:r w:rsidR="007B6ACD" w:rsidRPr="00521357">
        <w:rPr>
          <w:rFonts w:cs="Times New Roman"/>
          <w:szCs w:val="24"/>
        </w:rPr>
        <w:t xml:space="preserve"> yra </w:t>
      </w:r>
      <w:r w:rsidR="005B4862" w:rsidRPr="00521357">
        <w:rPr>
          <w:rFonts w:cs="Times New Roman"/>
          <w:szCs w:val="24"/>
        </w:rPr>
        <w:t xml:space="preserve">NVSC </w:t>
      </w:r>
      <w:r w:rsidR="007B6ACD" w:rsidRPr="00521357">
        <w:rPr>
          <w:rFonts w:cs="Times New Roman"/>
          <w:szCs w:val="24"/>
        </w:rPr>
        <w:t>tęstinis</w:t>
      </w:r>
      <w:r w:rsidRPr="00521357">
        <w:rPr>
          <w:rFonts w:cs="Times New Roman"/>
          <w:szCs w:val="24"/>
        </w:rPr>
        <w:t xml:space="preserve"> darbas, parengtas</w:t>
      </w:r>
      <w:r w:rsidR="007B6ACD" w:rsidRPr="00521357">
        <w:rPr>
          <w:rFonts w:cs="Times New Roman"/>
          <w:szCs w:val="24"/>
        </w:rPr>
        <w:t xml:space="preserve"> ankstesniųjų </w:t>
      </w:r>
      <w:r w:rsidRPr="00521357">
        <w:rPr>
          <w:rFonts w:cs="Times New Roman"/>
          <w:szCs w:val="24"/>
        </w:rPr>
        <w:t xml:space="preserve">skelbtų </w:t>
      </w:r>
      <w:r w:rsidR="00160C5E" w:rsidRPr="00521357">
        <w:rPr>
          <w:rFonts w:cs="Times New Roman"/>
          <w:szCs w:val="24"/>
        </w:rPr>
        <w:t xml:space="preserve">vertinimų </w:t>
      </w:r>
      <w:r w:rsidRPr="00521357">
        <w:rPr>
          <w:rFonts w:cs="Times New Roman"/>
          <w:szCs w:val="24"/>
        </w:rPr>
        <w:t>pagrindu</w:t>
      </w:r>
      <w:r w:rsidR="00492117" w:rsidRPr="00521357">
        <w:rPr>
          <w:rFonts w:cs="Times New Roman"/>
          <w:szCs w:val="24"/>
        </w:rPr>
        <w:t>,</w:t>
      </w:r>
      <w:r w:rsidRPr="00521357">
        <w:rPr>
          <w:rFonts w:cs="Times New Roman"/>
          <w:szCs w:val="24"/>
        </w:rPr>
        <w:t xml:space="preserve"> </w:t>
      </w:r>
      <w:r w:rsidR="00160C5E" w:rsidRPr="00521357">
        <w:rPr>
          <w:rFonts w:cs="Times New Roman"/>
          <w:szCs w:val="24"/>
        </w:rPr>
        <w:t>kuriose išsamiai aprašytas kietųjų dalelių poveikis visuomenės sveikatai, koncentracijos  aplinkos ore teisinis reglamentavimas bei stebėsena, poveikio visuomenės sveikatai vertinimo metodai ir priemonės, priešlaikinių mirčių skaičiavimo duomenų šaltiniai, netikslumai bei priešlaikinių mirčių analizės rezultatai</w:t>
      </w:r>
      <w:r w:rsidR="00160C5E" w:rsidRPr="00521357">
        <w:rPr>
          <w:rStyle w:val="Puslapioinaosnuoroda"/>
          <w:rFonts w:cs="Times New Roman"/>
          <w:szCs w:val="24"/>
        </w:rPr>
        <w:footnoteReference w:id="1"/>
      </w:r>
      <w:r w:rsidR="008A6936" w:rsidRPr="00521357">
        <w:rPr>
          <w:rFonts w:cs="Times New Roman"/>
          <w:szCs w:val="24"/>
        </w:rPr>
        <w:t>.</w:t>
      </w:r>
      <w:r w:rsidR="00160C5E" w:rsidRPr="00521357">
        <w:rPr>
          <w:rFonts w:cs="Times New Roman"/>
          <w:szCs w:val="24"/>
        </w:rPr>
        <w:t> </w:t>
      </w:r>
    </w:p>
    <w:p w14:paraId="331AF3B8" w14:textId="41A3280B" w:rsidR="00016E65" w:rsidRPr="00521357" w:rsidRDefault="00F82440" w:rsidP="00F82440">
      <w:pPr>
        <w:jc w:val="both"/>
        <w:rPr>
          <w:rFonts w:cs="Times New Roman"/>
          <w:szCs w:val="24"/>
        </w:rPr>
      </w:pPr>
      <w:r w:rsidRPr="00521357">
        <w:rPr>
          <w:rFonts w:cs="Times New Roman"/>
          <w:szCs w:val="24"/>
        </w:rPr>
        <w:t>Vertinimas atliktas vadovaujantis Pasaulio sveikatos organizacijos (toliau – PSO) įrankiu (AirQ+: software tool for health risk assessment of air pollution</w:t>
      </w:r>
      <w:r w:rsidR="008A6936" w:rsidRPr="00521357">
        <w:rPr>
          <w:rStyle w:val="Puslapioinaosnuoroda"/>
          <w:rFonts w:cs="Times New Roman"/>
          <w:szCs w:val="24"/>
        </w:rPr>
        <w:footnoteReference w:id="2"/>
      </w:r>
      <w:r w:rsidRPr="00521357">
        <w:rPr>
          <w:rFonts w:cs="Times New Roman"/>
          <w:szCs w:val="24"/>
        </w:rPr>
        <w:t>)</w:t>
      </w:r>
      <w:r w:rsidR="00455C86" w:rsidRPr="00521357">
        <w:rPr>
          <w:rFonts w:cs="Times New Roman"/>
          <w:szCs w:val="24"/>
        </w:rPr>
        <w:t xml:space="preserve">, </w:t>
      </w:r>
      <w:r w:rsidRPr="00521357">
        <w:rPr>
          <w:rFonts w:cs="Times New Roman"/>
          <w:szCs w:val="24"/>
        </w:rPr>
        <w:t xml:space="preserve">PSO Europos regioninio biuro rekomendacijomis dėl oro užterštumo poveikio visuomenės sveikatai vertinimo </w:t>
      </w:r>
      <w:bookmarkStart w:id="2" w:name="_Hlk161566858"/>
      <w:r w:rsidRPr="00521357">
        <w:rPr>
          <w:rFonts w:cs="Times New Roman"/>
          <w:szCs w:val="24"/>
        </w:rPr>
        <w:t>(WHO Regional Office for Europe, 2016. Health risk assessment of air pollution: general principles</w:t>
      </w:r>
      <w:r w:rsidR="005166A3" w:rsidRPr="00521357">
        <w:rPr>
          <w:rStyle w:val="Puslapioinaosnuoroda"/>
          <w:rFonts w:cs="Times New Roman"/>
          <w:szCs w:val="24"/>
        </w:rPr>
        <w:footnoteReference w:id="3"/>
      </w:r>
      <w:r w:rsidRPr="00521357">
        <w:rPr>
          <w:rFonts w:cs="Times New Roman"/>
          <w:szCs w:val="24"/>
        </w:rPr>
        <w:t>)</w:t>
      </w:r>
      <w:bookmarkEnd w:id="2"/>
      <w:r w:rsidR="002A7F40" w:rsidRPr="00521357">
        <w:rPr>
          <w:rFonts w:cs="Times New Roman"/>
          <w:szCs w:val="24"/>
        </w:rPr>
        <w:t>,  2021 m. PSO pasaulinėmis oro kokybės rekomendacij</w:t>
      </w:r>
      <w:r w:rsidR="00455C86" w:rsidRPr="00521357">
        <w:rPr>
          <w:rFonts w:cs="Times New Roman"/>
          <w:szCs w:val="24"/>
        </w:rPr>
        <w:t>omis</w:t>
      </w:r>
      <w:r w:rsidR="002A7F40" w:rsidRPr="00521357">
        <w:rPr>
          <w:rFonts w:cs="Times New Roman"/>
          <w:szCs w:val="24"/>
        </w:rPr>
        <w:t xml:space="preserve"> (WHO global air quality guidelines. Particulate matter (PM2.5 and PM10), ozone, nitrogen dioxide, sulfur dioxide and carbon monoxide</w:t>
      </w:r>
      <w:r w:rsidR="002A7F40" w:rsidRPr="00521357">
        <w:rPr>
          <w:rFonts w:cs="Times New Roman"/>
          <w:szCs w:val="24"/>
          <w:vertAlign w:val="superscript"/>
        </w:rPr>
        <w:footnoteReference w:id="4"/>
      </w:r>
      <w:r w:rsidR="002A7F40" w:rsidRPr="00521357">
        <w:rPr>
          <w:rFonts w:cs="Times New Roman"/>
          <w:szCs w:val="24"/>
        </w:rPr>
        <w:t>)</w:t>
      </w:r>
      <w:r w:rsidR="00455C86" w:rsidRPr="00521357">
        <w:rPr>
          <w:rFonts w:cs="Times New Roman"/>
          <w:szCs w:val="24"/>
        </w:rPr>
        <w:t>.</w:t>
      </w:r>
    </w:p>
    <w:p w14:paraId="2C04ABE4" w14:textId="7A676655" w:rsidR="002E0713" w:rsidRPr="00521357" w:rsidRDefault="002E0713" w:rsidP="005A1FED">
      <w:pPr>
        <w:jc w:val="both"/>
        <w:rPr>
          <w:rFonts w:cs="Times New Roman"/>
          <w:szCs w:val="24"/>
        </w:rPr>
      </w:pPr>
      <w:r w:rsidRPr="00521357">
        <w:rPr>
          <w:rFonts w:cs="Times New Roman"/>
          <w:szCs w:val="24"/>
        </w:rPr>
        <w:t xml:space="preserve">Atsižvelgiant į PSO rekomendacijas skaičiavimai atlikti nustatant trijų metų slenkančius </w:t>
      </w:r>
      <w:r w:rsidR="00016E65" w:rsidRPr="00521357">
        <w:rPr>
          <w:rFonts w:cs="Times New Roman"/>
          <w:szCs w:val="24"/>
        </w:rPr>
        <w:t>v</w:t>
      </w:r>
      <w:r w:rsidRPr="00521357">
        <w:rPr>
          <w:rFonts w:cs="Times New Roman"/>
          <w:szCs w:val="24"/>
        </w:rPr>
        <w:t>idurkius</w:t>
      </w:r>
      <w:r w:rsidR="00016E65" w:rsidRPr="00521357">
        <w:rPr>
          <w:rFonts w:cs="Times New Roman"/>
          <w:szCs w:val="24"/>
        </w:rPr>
        <w:t xml:space="preserve">. </w:t>
      </w:r>
      <w:r w:rsidRPr="00521357">
        <w:rPr>
          <w:rFonts w:cs="Times New Roman"/>
          <w:szCs w:val="24"/>
        </w:rPr>
        <w:t xml:space="preserve">Apskaičiuotos </w:t>
      </w:r>
      <w:r w:rsidR="00F23B98" w:rsidRPr="00521357">
        <w:rPr>
          <w:rFonts w:cs="Times New Roman"/>
          <w:szCs w:val="24"/>
        </w:rPr>
        <w:t xml:space="preserve">kiekvieno </w:t>
      </w:r>
      <w:r w:rsidRPr="00521357">
        <w:rPr>
          <w:rFonts w:cs="Times New Roman"/>
          <w:szCs w:val="24"/>
        </w:rPr>
        <w:t>periodo priešlaikinės mirtys miestuose, kuriuose veikia OKTS (Vilniaus, Kauno, Klaipėdos, Panevėžio, Šiaulių, Mažeikių, Naujosios Akmenės</w:t>
      </w:r>
      <w:r w:rsidR="002A657F" w:rsidRPr="00521357">
        <w:rPr>
          <w:rFonts w:cs="Times New Roman"/>
          <w:szCs w:val="24"/>
        </w:rPr>
        <w:t>,</w:t>
      </w:r>
      <w:r w:rsidRPr="00521357">
        <w:rPr>
          <w:rFonts w:cs="Times New Roman"/>
          <w:szCs w:val="24"/>
        </w:rPr>
        <w:t xml:space="preserve"> Jonavos, Kėdainių miestuose).</w:t>
      </w:r>
      <w:r w:rsidR="00244743" w:rsidRPr="00521357">
        <w:rPr>
          <w:rFonts w:cs="Times New Roman"/>
          <w:szCs w:val="24"/>
        </w:rPr>
        <w:t xml:space="preserve"> </w:t>
      </w:r>
      <w:r w:rsidRPr="00521357">
        <w:rPr>
          <w:rFonts w:cs="Times New Roman"/>
          <w:szCs w:val="24"/>
        </w:rPr>
        <w:t>Nurodytų miestų populiacijos duomenys (30 m.</w:t>
      </w:r>
      <w:r w:rsidR="00F23B98" w:rsidRPr="00521357">
        <w:rPr>
          <w:rFonts w:cs="Times New Roman"/>
          <w:szCs w:val="24"/>
        </w:rPr>
        <w:t xml:space="preserve"> ir vyresnio amžiaus</w:t>
      </w:r>
      <w:r w:rsidRPr="00521357">
        <w:rPr>
          <w:rFonts w:cs="Times New Roman"/>
          <w:szCs w:val="24"/>
        </w:rPr>
        <w:t xml:space="preserve"> </w:t>
      </w:r>
      <w:r w:rsidR="00F23B98" w:rsidRPr="00521357">
        <w:rPr>
          <w:rFonts w:cs="Times New Roman"/>
          <w:szCs w:val="24"/>
        </w:rPr>
        <w:t xml:space="preserve">gyventojų </w:t>
      </w:r>
      <w:r w:rsidRPr="00521357">
        <w:rPr>
          <w:rFonts w:cs="Times New Roman"/>
          <w:szCs w:val="24"/>
        </w:rPr>
        <w:t xml:space="preserve">skaičius kitų metų pradžioje) buvo gauti iš Lietuvos statistikos departamento, aplinkos oro užterštumo – iš Aplinkos apsaugos agentūros. Bendro mirtingumo nuo natūralių mirties priežasčių pagal tarptautinę statistinę ligų ir sveikatos sutrikimų klasifikaciją (TLK-10-AM) </w:t>
      </w:r>
      <w:r w:rsidR="005A1FED" w:rsidRPr="00521357">
        <w:rPr>
          <w:rFonts w:cs="Times New Roman"/>
          <w:szCs w:val="24"/>
        </w:rPr>
        <w:t xml:space="preserve">kodai </w:t>
      </w:r>
      <w:r w:rsidRPr="00521357">
        <w:rPr>
          <w:rFonts w:cs="Times New Roman"/>
          <w:szCs w:val="24"/>
        </w:rPr>
        <w:t>A00–R99 + UO7 (COVID-19 infekcija)</w:t>
      </w:r>
      <w:r w:rsidR="00016E65" w:rsidRPr="00521357">
        <w:rPr>
          <w:rFonts w:cs="Times New Roman"/>
          <w:szCs w:val="24"/>
        </w:rPr>
        <w:t xml:space="preserve"> </w:t>
      </w:r>
      <w:r w:rsidRPr="00521357">
        <w:rPr>
          <w:rFonts w:cs="Times New Roman"/>
          <w:szCs w:val="24"/>
        </w:rPr>
        <w:t xml:space="preserve">(mirtingumas, atmetus sužalojimus, apsinuodijimus ir tam tikrus išorinių poveikių padarinius (S00–T98) bei išorines priežastis (U50–U73, U90, V00–Y98) </w:t>
      </w:r>
      <w:r w:rsidR="00F23B98" w:rsidRPr="00521357">
        <w:rPr>
          <w:rFonts w:cs="Times New Roman"/>
          <w:szCs w:val="24"/>
        </w:rPr>
        <w:t xml:space="preserve">30 m. ir vyresnio amžiaus gyventojų </w:t>
      </w:r>
      <w:r w:rsidRPr="00521357">
        <w:rPr>
          <w:rFonts w:cs="Times New Roman"/>
          <w:szCs w:val="24"/>
        </w:rPr>
        <w:t>gauti iš Higienos instituto</w:t>
      </w:r>
      <w:r w:rsidR="00F23B98" w:rsidRPr="00521357">
        <w:rPr>
          <w:rFonts w:cs="Times New Roman"/>
          <w:szCs w:val="24"/>
        </w:rPr>
        <w:t>.</w:t>
      </w:r>
    </w:p>
    <w:p w14:paraId="01AC5388" w14:textId="6128D6C6" w:rsidR="00DE130A" w:rsidRPr="00521357" w:rsidRDefault="002E0713" w:rsidP="00C93260">
      <w:pPr>
        <w:jc w:val="both"/>
        <w:rPr>
          <w:rFonts w:cs="Times New Roman"/>
          <w:szCs w:val="24"/>
        </w:rPr>
      </w:pPr>
      <w:r w:rsidRPr="00521357">
        <w:rPr>
          <w:rFonts w:cs="Times New Roman"/>
          <w:szCs w:val="24"/>
        </w:rPr>
        <w:t>Atkreip</w:t>
      </w:r>
      <w:r w:rsidR="005A1FED" w:rsidRPr="00521357">
        <w:rPr>
          <w:rFonts w:cs="Times New Roman"/>
          <w:szCs w:val="24"/>
        </w:rPr>
        <w:t>tinas dėmesys</w:t>
      </w:r>
      <w:r w:rsidRPr="00521357">
        <w:rPr>
          <w:rFonts w:cs="Times New Roman"/>
          <w:szCs w:val="24"/>
        </w:rPr>
        <w:t>, kad Aplinkos apsaugos agentūros duomenimis</w:t>
      </w:r>
      <w:r w:rsidR="00F23B98" w:rsidRPr="00521357">
        <w:rPr>
          <w:rFonts w:cs="Times New Roman"/>
          <w:szCs w:val="24"/>
        </w:rPr>
        <w:t>,</w:t>
      </w:r>
      <w:r w:rsidRPr="00521357">
        <w:rPr>
          <w:rFonts w:cs="Times New Roman"/>
          <w:szCs w:val="24"/>
        </w:rPr>
        <w:t xml:space="preserve"> nėra galimybės priskirti</w:t>
      </w:r>
      <w:r w:rsidR="00326A68" w:rsidRPr="00521357">
        <w:rPr>
          <w:rFonts w:cs="Times New Roman"/>
          <w:szCs w:val="24"/>
        </w:rPr>
        <w:t xml:space="preserve"> </w:t>
      </w:r>
      <w:r w:rsidRPr="00521357">
        <w:rPr>
          <w:rFonts w:cs="Times New Roman"/>
          <w:szCs w:val="24"/>
        </w:rPr>
        <w:t>miesto gyventojų konkrečiai OKTS, todėl miestuose, kuriuose veikia kelios OKTS</w:t>
      </w:r>
      <w:r w:rsidR="002A657F" w:rsidRPr="00521357">
        <w:rPr>
          <w:rFonts w:cs="Times New Roman"/>
          <w:szCs w:val="24"/>
        </w:rPr>
        <w:t>,</w:t>
      </w:r>
      <w:r w:rsidRPr="00521357">
        <w:rPr>
          <w:rFonts w:cs="Times New Roman"/>
          <w:szCs w:val="24"/>
        </w:rPr>
        <w:t xml:space="preserve"> apskaičiuoti visų</w:t>
      </w:r>
      <w:r w:rsidR="00326A68" w:rsidRPr="00521357">
        <w:rPr>
          <w:rFonts w:cs="Times New Roman"/>
          <w:szCs w:val="24"/>
        </w:rPr>
        <w:t xml:space="preserve"> </w:t>
      </w:r>
      <w:r w:rsidRPr="00521357">
        <w:rPr>
          <w:rFonts w:cs="Times New Roman"/>
          <w:szCs w:val="24"/>
        </w:rPr>
        <w:t>mieste veikiančių stočių duomenų vidurkiai.</w:t>
      </w:r>
      <w:r w:rsidR="00326A68" w:rsidRPr="00521357">
        <w:rPr>
          <w:rFonts w:cs="Times New Roman"/>
          <w:szCs w:val="24"/>
        </w:rPr>
        <w:t xml:space="preserve"> </w:t>
      </w:r>
      <w:r w:rsidRPr="00521357">
        <w:rPr>
          <w:rFonts w:cs="Times New Roman"/>
          <w:szCs w:val="24"/>
        </w:rPr>
        <w:t xml:space="preserve">OKTS, kuriose tiriamos tik KD10 valandinės koncentracijos, KD2,5 vidutinės koncentracijos buvo apskaičiuotos iš KD10 stebėsenos duomenų, taikant PSO rekomenduojamą </w:t>
      </w:r>
      <w:r w:rsidR="005A1FED" w:rsidRPr="00521357">
        <w:rPr>
          <w:rFonts w:cs="Times New Roman"/>
          <w:szCs w:val="24"/>
        </w:rPr>
        <w:t>p</w:t>
      </w:r>
      <w:r w:rsidRPr="00521357">
        <w:rPr>
          <w:rFonts w:cs="Times New Roman"/>
          <w:szCs w:val="24"/>
        </w:rPr>
        <w:t>riešlaikinių mirčių Lietuvos miestuose skaičiavimo duomenų koeficientą</w:t>
      </w:r>
      <w:r w:rsidR="00C93260" w:rsidRPr="00521357">
        <w:rPr>
          <w:rFonts w:cs="Times New Roman"/>
          <w:szCs w:val="24"/>
        </w:rPr>
        <w:t xml:space="preserve"> (KD2,5 koncentracija buvo nustatyta KD10 koncentracijas dauginant iš 0,55 koeficiento</w:t>
      </w:r>
      <w:r w:rsidR="000472B8" w:rsidRPr="00521357">
        <w:rPr>
          <w:rFonts w:cs="Times New Roman"/>
          <w:szCs w:val="24"/>
        </w:rPr>
        <w:t>)</w:t>
      </w:r>
      <w:r w:rsidR="00C93260" w:rsidRPr="00521357">
        <w:rPr>
          <w:rFonts w:cs="Times New Roman"/>
          <w:szCs w:val="24"/>
        </w:rPr>
        <w:t>.</w:t>
      </w:r>
      <w:r w:rsidRPr="00521357">
        <w:rPr>
          <w:rFonts w:cs="Times New Roman"/>
          <w:szCs w:val="24"/>
        </w:rPr>
        <w:t xml:space="preserve"> Pažymėtina, kad PSO duomenimis</w:t>
      </w:r>
      <w:r w:rsidR="00B26CE0" w:rsidRPr="00521357">
        <w:rPr>
          <w:rFonts w:cs="Times New Roman"/>
          <w:szCs w:val="24"/>
        </w:rPr>
        <w:t>,</w:t>
      </w:r>
      <w:r w:rsidRPr="00521357">
        <w:rPr>
          <w:rFonts w:cs="Times New Roman"/>
          <w:szCs w:val="24"/>
        </w:rPr>
        <w:t xml:space="preserve"> Europoje KD2,5</w:t>
      </w:r>
      <w:r w:rsidR="00016E65" w:rsidRPr="00521357">
        <w:rPr>
          <w:rFonts w:cs="Times New Roman"/>
          <w:szCs w:val="24"/>
        </w:rPr>
        <w:t xml:space="preserve"> </w:t>
      </w:r>
      <w:r w:rsidRPr="00521357">
        <w:rPr>
          <w:rFonts w:cs="Times New Roman"/>
          <w:szCs w:val="24"/>
        </w:rPr>
        <w:t>koncentracija paprastai sudaro apie 50–70 proc. KD10 koncentracijos.</w:t>
      </w:r>
      <w:r w:rsidR="00016E65" w:rsidRPr="00521357">
        <w:rPr>
          <w:rFonts w:cs="Times New Roman"/>
          <w:szCs w:val="24"/>
        </w:rPr>
        <w:t xml:space="preserve"> </w:t>
      </w:r>
    </w:p>
    <w:p w14:paraId="4A431FB2" w14:textId="0C3A1C57" w:rsidR="005166A3" w:rsidRPr="00521357" w:rsidRDefault="002C0AE5" w:rsidP="00F23B98">
      <w:pPr>
        <w:jc w:val="both"/>
        <w:rPr>
          <w:rFonts w:cs="Times New Roman"/>
          <w:szCs w:val="24"/>
        </w:rPr>
      </w:pPr>
      <w:r w:rsidRPr="00521357">
        <w:rPr>
          <w:rFonts w:cs="Times New Roman"/>
          <w:szCs w:val="24"/>
        </w:rPr>
        <w:t>Skaičiavimuose taikomas ribinis arba poveikio neturintis lygis (C</w:t>
      </w:r>
      <w:r w:rsidRPr="00521357">
        <w:rPr>
          <w:rFonts w:cs="Times New Roman"/>
          <w:szCs w:val="24"/>
          <w:vertAlign w:val="subscript"/>
        </w:rPr>
        <w:t>0</w:t>
      </w:r>
      <w:r w:rsidRPr="00521357">
        <w:rPr>
          <w:rFonts w:cs="Times New Roman"/>
          <w:szCs w:val="24"/>
        </w:rPr>
        <w:t>), kur</w:t>
      </w:r>
      <w:r w:rsidR="00F23B98" w:rsidRPr="00521357">
        <w:rPr>
          <w:rFonts w:cs="Times New Roman"/>
          <w:szCs w:val="24"/>
        </w:rPr>
        <w:t>i</w:t>
      </w:r>
      <w:r w:rsidRPr="00521357">
        <w:rPr>
          <w:rFonts w:cs="Times New Roman"/>
          <w:szCs w:val="24"/>
        </w:rPr>
        <w:t>s padeda nustatyti</w:t>
      </w:r>
      <w:r w:rsidR="002A657F" w:rsidRPr="00521357">
        <w:rPr>
          <w:rFonts w:cs="Times New Roman"/>
          <w:szCs w:val="24"/>
        </w:rPr>
        <w:t>,</w:t>
      </w:r>
      <w:r w:rsidRPr="00521357">
        <w:rPr>
          <w:rFonts w:cs="Times New Roman"/>
          <w:szCs w:val="24"/>
        </w:rPr>
        <w:t xml:space="preserve"> kiek priešlaikinių mirčių dėl ilgalaikio KD2,5 poveikio būtų galima išvengti, jei metinė vidutinė KD2,5 koncentracija neviršytų šio lygio. </w:t>
      </w:r>
      <w:r w:rsidR="00DE130A" w:rsidRPr="00521357">
        <w:rPr>
          <w:rFonts w:cs="Times New Roman"/>
          <w:szCs w:val="24"/>
        </w:rPr>
        <w:t xml:space="preserve">Atsižvelgiant į 2021 m. paskelbtas </w:t>
      </w:r>
      <w:r w:rsidRPr="00521357">
        <w:rPr>
          <w:rFonts w:cs="Times New Roman"/>
          <w:szCs w:val="24"/>
        </w:rPr>
        <w:t>PSO rekomend</w:t>
      </w:r>
      <w:r w:rsidR="00DE130A" w:rsidRPr="00521357">
        <w:rPr>
          <w:rFonts w:cs="Times New Roman"/>
          <w:szCs w:val="24"/>
        </w:rPr>
        <w:t>acijas</w:t>
      </w:r>
      <w:r w:rsidR="00455C86" w:rsidRPr="00521357">
        <w:rPr>
          <w:rFonts w:cs="Times New Roman"/>
          <w:szCs w:val="24"/>
        </w:rPr>
        <w:t>,</w:t>
      </w:r>
      <w:r w:rsidR="00DE130A" w:rsidRPr="00521357">
        <w:rPr>
          <w:rFonts w:cs="Times New Roman"/>
          <w:szCs w:val="24"/>
        </w:rPr>
        <w:t xml:space="preserve"> </w:t>
      </w:r>
      <w:r w:rsidRPr="00521357">
        <w:rPr>
          <w:rFonts w:cs="Times New Roman"/>
          <w:szCs w:val="24"/>
        </w:rPr>
        <w:t xml:space="preserve"> </w:t>
      </w:r>
      <w:r w:rsidRPr="00521357">
        <w:rPr>
          <w:rFonts w:cs="Times New Roman"/>
          <w:szCs w:val="24"/>
        </w:rPr>
        <w:lastRenderedPageBreak/>
        <w:t>KD2,5 C</w:t>
      </w:r>
      <w:r w:rsidRPr="00521357">
        <w:rPr>
          <w:rFonts w:cs="Times New Roman"/>
          <w:szCs w:val="24"/>
          <w:vertAlign w:val="subscript"/>
        </w:rPr>
        <w:t>0</w:t>
      </w:r>
      <w:r w:rsidRPr="00521357">
        <w:rPr>
          <w:rFonts w:cs="Times New Roman"/>
          <w:szCs w:val="24"/>
        </w:rPr>
        <w:t xml:space="preserve"> yra </w:t>
      </w:r>
      <w:bookmarkStart w:id="3" w:name="_Hlk161567496"/>
      <w:r w:rsidR="00455C86" w:rsidRPr="00521357">
        <w:rPr>
          <w:rFonts w:cs="Times New Roman"/>
          <w:szCs w:val="24"/>
        </w:rPr>
        <w:t xml:space="preserve">lygus </w:t>
      </w:r>
      <w:r w:rsidR="00DE130A" w:rsidRPr="00521357">
        <w:rPr>
          <w:rFonts w:cs="Times New Roman"/>
          <w:szCs w:val="24"/>
        </w:rPr>
        <w:t xml:space="preserve">5 </w:t>
      </w:r>
      <w:r w:rsidRPr="00521357">
        <w:rPr>
          <w:rFonts w:cs="Times New Roman"/>
          <w:szCs w:val="24"/>
        </w:rPr>
        <w:t>μg/m</w:t>
      </w:r>
      <w:r w:rsidRPr="00521357">
        <w:rPr>
          <w:rFonts w:cs="Times New Roman"/>
          <w:szCs w:val="24"/>
          <w:vertAlign w:val="superscript"/>
        </w:rPr>
        <w:t>3</w:t>
      </w:r>
      <w:bookmarkEnd w:id="3"/>
      <w:r w:rsidR="00DE130A" w:rsidRPr="00521357">
        <w:rPr>
          <w:rFonts w:cs="Times New Roman"/>
          <w:szCs w:val="24"/>
        </w:rPr>
        <w:t>, rezultatų palyginimui pateikti skaičiavimai, kai KD2,5 C</w:t>
      </w:r>
      <w:r w:rsidR="00DE130A" w:rsidRPr="00521357">
        <w:rPr>
          <w:rFonts w:cs="Times New Roman"/>
          <w:szCs w:val="24"/>
          <w:vertAlign w:val="subscript"/>
        </w:rPr>
        <w:t>0</w:t>
      </w:r>
      <w:r w:rsidR="00DE130A" w:rsidRPr="00521357">
        <w:rPr>
          <w:rFonts w:cs="Times New Roman"/>
          <w:szCs w:val="24"/>
        </w:rPr>
        <w:t xml:space="preserve"> yra </w:t>
      </w:r>
      <w:r w:rsidR="00F23B98" w:rsidRPr="00521357">
        <w:rPr>
          <w:rFonts w:cs="Times New Roman"/>
          <w:szCs w:val="24"/>
        </w:rPr>
        <w:t xml:space="preserve">lygus </w:t>
      </w:r>
      <w:r w:rsidR="00DE130A" w:rsidRPr="00521357">
        <w:rPr>
          <w:rFonts w:cs="Times New Roman"/>
          <w:szCs w:val="24"/>
        </w:rPr>
        <w:t>10</w:t>
      </w:r>
      <w:r w:rsidR="002E66F9">
        <w:rPr>
          <w:rFonts w:cs="Times New Roman"/>
          <w:szCs w:val="24"/>
        </w:rPr>
        <w:t> </w:t>
      </w:r>
      <w:proofErr w:type="spellStart"/>
      <w:r w:rsidR="00DE130A" w:rsidRPr="00521357">
        <w:rPr>
          <w:rFonts w:cs="Times New Roman"/>
          <w:szCs w:val="24"/>
        </w:rPr>
        <w:t>μg</w:t>
      </w:r>
      <w:proofErr w:type="spellEnd"/>
      <w:r w:rsidR="00DE130A" w:rsidRPr="00521357">
        <w:rPr>
          <w:rFonts w:cs="Times New Roman"/>
          <w:szCs w:val="24"/>
        </w:rPr>
        <w:t>/m</w:t>
      </w:r>
      <w:r w:rsidR="00DE130A" w:rsidRPr="00521357">
        <w:rPr>
          <w:rFonts w:cs="Times New Roman"/>
          <w:szCs w:val="24"/>
          <w:vertAlign w:val="superscript"/>
        </w:rPr>
        <w:t>3</w:t>
      </w:r>
      <w:r w:rsidR="00DE130A" w:rsidRPr="00521357">
        <w:rPr>
          <w:rFonts w:cs="Times New Roman"/>
          <w:szCs w:val="24"/>
        </w:rPr>
        <w:t xml:space="preserve"> (ankstesnis poveikio neturintis lygis).</w:t>
      </w:r>
    </w:p>
    <w:p w14:paraId="0C23CFA7" w14:textId="6E132AA8" w:rsidR="005166A3" w:rsidRPr="00521357" w:rsidRDefault="005A3022" w:rsidP="00455C86">
      <w:pPr>
        <w:ind w:firstLine="567"/>
        <w:jc w:val="both"/>
        <w:rPr>
          <w:rFonts w:cs="Times New Roman"/>
          <w:szCs w:val="24"/>
        </w:rPr>
      </w:pPr>
      <w:r w:rsidRPr="00521357">
        <w:rPr>
          <w:rFonts w:cs="Times New Roman"/>
          <w:szCs w:val="24"/>
        </w:rPr>
        <w:t>A</w:t>
      </w:r>
      <w:r w:rsidR="005166A3" w:rsidRPr="00521357">
        <w:rPr>
          <w:rFonts w:cs="Times New Roman"/>
          <w:szCs w:val="24"/>
        </w:rPr>
        <w:t>nkstesni</w:t>
      </w:r>
      <w:r w:rsidR="002C0AE5" w:rsidRPr="00521357">
        <w:rPr>
          <w:rFonts w:cs="Times New Roman"/>
          <w:szCs w:val="24"/>
        </w:rPr>
        <w:t>ų</w:t>
      </w:r>
      <w:r w:rsidR="005166A3" w:rsidRPr="00521357">
        <w:rPr>
          <w:rFonts w:cs="Times New Roman"/>
          <w:szCs w:val="24"/>
        </w:rPr>
        <w:t xml:space="preserve"> period</w:t>
      </w:r>
      <w:r w:rsidR="002C0AE5" w:rsidRPr="00521357">
        <w:rPr>
          <w:rFonts w:cs="Times New Roman"/>
          <w:szCs w:val="24"/>
        </w:rPr>
        <w:t>ų duomen</w:t>
      </w:r>
      <w:r w:rsidRPr="00521357">
        <w:rPr>
          <w:rFonts w:cs="Times New Roman"/>
          <w:szCs w:val="24"/>
        </w:rPr>
        <w:t xml:space="preserve">ys </w:t>
      </w:r>
      <w:r w:rsidR="005166A3" w:rsidRPr="00521357">
        <w:rPr>
          <w:rFonts w:cs="Times New Roman"/>
          <w:szCs w:val="24"/>
        </w:rPr>
        <w:t xml:space="preserve"> 2015–2017, 2016–2018, 2017–2019, 2018–2020, 2019–2021</w:t>
      </w:r>
      <w:r w:rsidR="002E66F9">
        <w:rPr>
          <w:rFonts w:cs="Times New Roman"/>
          <w:szCs w:val="24"/>
        </w:rPr>
        <w:t> </w:t>
      </w:r>
      <w:r w:rsidR="005166A3" w:rsidRPr="00521357">
        <w:rPr>
          <w:rFonts w:cs="Times New Roman"/>
          <w:szCs w:val="24"/>
        </w:rPr>
        <w:t xml:space="preserve">m. </w:t>
      </w:r>
      <w:r w:rsidR="002A657F" w:rsidRPr="00521357">
        <w:rPr>
          <w:rFonts w:cs="Times New Roman"/>
          <w:szCs w:val="24"/>
        </w:rPr>
        <w:t>duomenys</w:t>
      </w:r>
      <w:r w:rsidRPr="00521357">
        <w:rPr>
          <w:rFonts w:cs="Times New Roman"/>
          <w:szCs w:val="24"/>
        </w:rPr>
        <w:t>, kurie</w:t>
      </w:r>
      <w:r w:rsidR="002A657F" w:rsidRPr="00521357">
        <w:rPr>
          <w:rFonts w:cs="Times New Roman"/>
          <w:szCs w:val="24"/>
        </w:rPr>
        <w:t xml:space="preserve"> </w:t>
      </w:r>
      <w:r w:rsidR="005166A3" w:rsidRPr="00521357">
        <w:rPr>
          <w:rFonts w:cs="Times New Roman"/>
          <w:szCs w:val="24"/>
        </w:rPr>
        <w:t>yra publikuojam</w:t>
      </w:r>
      <w:r w:rsidR="00915148" w:rsidRPr="00521357">
        <w:rPr>
          <w:rFonts w:cs="Times New Roman"/>
          <w:szCs w:val="24"/>
        </w:rPr>
        <w:t>i</w:t>
      </w:r>
      <w:r w:rsidR="005166A3" w:rsidRPr="00521357">
        <w:rPr>
          <w:rFonts w:cs="Times New Roman"/>
          <w:szCs w:val="24"/>
        </w:rPr>
        <w:t xml:space="preserve"> NVSC interneto svetainėje</w:t>
      </w:r>
      <w:r w:rsidR="005166A3" w:rsidRPr="00521357">
        <w:rPr>
          <w:rStyle w:val="Puslapioinaosnuoroda"/>
          <w:rFonts w:cs="Times New Roman"/>
          <w:szCs w:val="24"/>
        </w:rPr>
        <w:footnoteReference w:id="5"/>
      </w:r>
      <w:r w:rsidR="00455C86" w:rsidRPr="00521357">
        <w:rPr>
          <w:rFonts w:cs="Times New Roman"/>
          <w:szCs w:val="24"/>
        </w:rPr>
        <w:t xml:space="preserve"> šioje ataskaitoje</w:t>
      </w:r>
      <w:r w:rsidRPr="00521357">
        <w:rPr>
          <w:rFonts w:cs="Times New Roman"/>
          <w:szCs w:val="24"/>
        </w:rPr>
        <w:t xml:space="preserve"> perskaičiuoti atnaujinta programos AirQ+ 2.2 versija. </w:t>
      </w:r>
    </w:p>
    <w:p w14:paraId="54E1E0EE" w14:textId="4883091C" w:rsidR="00326A68" w:rsidRPr="00521357" w:rsidRDefault="003F70BF" w:rsidP="005166A3">
      <w:pPr>
        <w:pStyle w:val="Antrat1"/>
        <w:rPr>
          <w:rFonts w:cs="Times New Roman"/>
          <w:sz w:val="24"/>
          <w:szCs w:val="24"/>
        </w:rPr>
      </w:pPr>
      <w:r w:rsidRPr="00521357">
        <w:rPr>
          <w:rFonts w:cs="Times New Roman"/>
          <w:color w:val="000000" w:themeColor="text1"/>
          <w:sz w:val="24"/>
          <w:szCs w:val="24"/>
        </w:rPr>
        <w:t>Aplinkos oro užterštumo kietosiomis dalelėmis (KD2,5) ir p</w:t>
      </w:r>
      <w:r w:rsidR="002E0713" w:rsidRPr="00521357">
        <w:rPr>
          <w:rFonts w:cs="Times New Roman"/>
          <w:sz w:val="24"/>
          <w:szCs w:val="24"/>
        </w:rPr>
        <w:t>riešlaikin</w:t>
      </w:r>
      <w:r w:rsidRPr="00521357">
        <w:rPr>
          <w:rFonts w:cs="Times New Roman"/>
          <w:sz w:val="24"/>
          <w:szCs w:val="24"/>
        </w:rPr>
        <w:t xml:space="preserve">ių </w:t>
      </w:r>
      <w:r w:rsidR="002E0713" w:rsidRPr="00521357">
        <w:rPr>
          <w:rFonts w:cs="Times New Roman"/>
          <w:sz w:val="24"/>
          <w:szCs w:val="24"/>
        </w:rPr>
        <w:t>mir</w:t>
      </w:r>
      <w:r w:rsidRPr="00521357">
        <w:rPr>
          <w:rFonts w:cs="Times New Roman"/>
          <w:sz w:val="24"/>
          <w:szCs w:val="24"/>
        </w:rPr>
        <w:t>čių</w:t>
      </w:r>
      <w:r w:rsidR="002E0713" w:rsidRPr="00521357">
        <w:rPr>
          <w:rFonts w:cs="Times New Roman"/>
          <w:sz w:val="24"/>
          <w:szCs w:val="24"/>
        </w:rPr>
        <w:t xml:space="preserve"> </w:t>
      </w:r>
      <w:r w:rsidRPr="00521357">
        <w:rPr>
          <w:rFonts w:cs="Times New Roman"/>
          <w:sz w:val="24"/>
          <w:szCs w:val="24"/>
        </w:rPr>
        <w:t>tendencijos Lietuvos miestuose</w:t>
      </w:r>
      <w:r w:rsidR="003F698F" w:rsidRPr="00521357">
        <w:rPr>
          <w:rFonts w:cs="Times New Roman"/>
          <w:sz w:val="24"/>
          <w:szCs w:val="24"/>
        </w:rPr>
        <w:t xml:space="preserve"> 2015–202</w:t>
      </w:r>
      <w:r w:rsidR="000472B8" w:rsidRPr="00521357">
        <w:rPr>
          <w:rFonts w:cs="Times New Roman"/>
          <w:sz w:val="24"/>
          <w:szCs w:val="24"/>
        </w:rPr>
        <w:t>3</w:t>
      </w:r>
      <w:r w:rsidR="003F698F" w:rsidRPr="00521357">
        <w:rPr>
          <w:rFonts w:cs="Times New Roman"/>
          <w:sz w:val="24"/>
          <w:szCs w:val="24"/>
        </w:rPr>
        <w:t xml:space="preserve"> m. laikotarpiu</w:t>
      </w:r>
    </w:p>
    <w:p w14:paraId="787EEB31" w14:textId="2BC30C9E" w:rsidR="002E0713" w:rsidRPr="00521357" w:rsidRDefault="00C62E23" w:rsidP="00326A68">
      <w:pPr>
        <w:pStyle w:val="Sraopastraipa"/>
        <w:tabs>
          <w:tab w:val="left" w:pos="3037"/>
        </w:tabs>
        <w:ind w:left="0" w:firstLine="567"/>
        <w:jc w:val="both"/>
        <w:rPr>
          <w:rFonts w:cs="Times New Roman"/>
          <w:szCs w:val="24"/>
        </w:rPr>
      </w:pPr>
      <w:bookmarkStart w:id="4" w:name="_Hlk154667132"/>
      <w:r w:rsidRPr="00521357">
        <w:rPr>
          <w:rFonts w:cs="Times New Roman"/>
          <w:szCs w:val="24"/>
        </w:rPr>
        <w:t>Priešlaikinių mirčių slenkantys vidurkiai 20</w:t>
      </w:r>
      <w:r w:rsidR="00C409B0" w:rsidRPr="00521357">
        <w:rPr>
          <w:rFonts w:cs="Times New Roman"/>
          <w:szCs w:val="24"/>
        </w:rPr>
        <w:t>15</w:t>
      </w:r>
      <w:r w:rsidRPr="00521357">
        <w:rPr>
          <w:rFonts w:cs="Times New Roman"/>
          <w:szCs w:val="24"/>
        </w:rPr>
        <w:t>–202</w:t>
      </w:r>
      <w:r w:rsidR="000472B8" w:rsidRPr="00521357">
        <w:rPr>
          <w:rFonts w:cs="Times New Roman"/>
          <w:szCs w:val="24"/>
        </w:rPr>
        <w:t>3</w:t>
      </w:r>
      <w:r w:rsidRPr="00521357">
        <w:rPr>
          <w:rFonts w:cs="Times New Roman"/>
          <w:szCs w:val="24"/>
        </w:rPr>
        <w:t xml:space="preserve"> m. </w:t>
      </w:r>
      <w:r w:rsidR="000472B8" w:rsidRPr="00521357">
        <w:rPr>
          <w:rFonts w:cs="Times New Roman"/>
          <w:szCs w:val="24"/>
        </w:rPr>
        <w:t>laikotarpi</w:t>
      </w:r>
      <w:r w:rsidR="00F23B98" w:rsidRPr="00521357">
        <w:rPr>
          <w:rFonts w:cs="Times New Roman"/>
          <w:szCs w:val="24"/>
        </w:rPr>
        <w:t>u skirtingais</w:t>
      </w:r>
      <w:r w:rsidR="000472B8" w:rsidRPr="00521357">
        <w:rPr>
          <w:rFonts w:cs="Times New Roman"/>
          <w:szCs w:val="24"/>
        </w:rPr>
        <w:t xml:space="preserve"> </w:t>
      </w:r>
      <w:r w:rsidRPr="00521357">
        <w:rPr>
          <w:rFonts w:cs="Times New Roman"/>
          <w:szCs w:val="24"/>
        </w:rPr>
        <w:t>periodais apskaičiuoti miestams, kuriuose įrengtos OKTS</w:t>
      </w:r>
      <w:bookmarkEnd w:id="4"/>
      <w:r w:rsidRPr="00521357">
        <w:rPr>
          <w:rFonts w:cs="Times New Roman"/>
          <w:szCs w:val="24"/>
        </w:rPr>
        <w:t xml:space="preserve">. </w:t>
      </w:r>
      <w:r w:rsidR="002E0713" w:rsidRPr="00521357">
        <w:rPr>
          <w:rFonts w:cs="Times New Roman"/>
          <w:szCs w:val="24"/>
        </w:rPr>
        <w:t xml:space="preserve">Apskaičiuoti slenkantys 3 metų aplinkos oro užterštumo </w:t>
      </w:r>
      <w:r w:rsidR="00326A68" w:rsidRPr="00521357">
        <w:rPr>
          <w:rFonts w:cs="Times New Roman"/>
          <w:szCs w:val="24"/>
        </w:rPr>
        <w:t xml:space="preserve">kietosiomis dalelėmis </w:t>
      </w:r>
      <w:r w:rsidR="002E0713" w:rsidRPr="00521357">
        <w:rPr>
          <w:rFonts w:cs="Times New Roman"/>
          <w:szCs w:val="24"/>
        </w:rPr>
        <w:t>rodikliai pateikti 1</w:t>
      </w:r>
      <w:r w:rsidR="0065275C" w:rsidRPr="00521357">
        <w:rPr>
          <w:rFonts w:cs="Times New Roman"/>
          <w:szCs w:val="24"/>
        </w:rPr>
        <w:t xml:space="preserve"> </w:t>
      </w:r>
      <w:r w:rsidR="002E5A39" w:rsidRPr="00521357">
        <w:rPr>
          <w:rFonts w:cs="Times New Roman"/>
          <w:szCs w:val="24"/>
        </w:rPr>
        <w:t>lentelėje</w:t>
      </w:r>
      <w:r w:rsidR="0065275C" w:rsidRPr="00521357">
        <w:rPr>
          <w:rFonts w:cs="Times New Roman"/>
          <w:szCs w:val="24"/>
        </w:rPr>
        <w:t xml:space="preserve">. </w:t>
      </w:r>
    </w:p>
    <w:p w14:paraId="3811A3BF" w14:textId="103227D5" w:rsidR="002E0713" w:rsidRPr="00521357" w:rsidRDefault="002E5A39" w:rsidP="00915148">
      <w:pPr>
        <w:pStyle w:val="Sraopastraipa"/>
        <w:tabs>
          <w:tab w:val="left" w:pos="3037"/>
        </w:tabs>
        <w:ind w:left="0" w:firstLine="567"/>
        <w:jc w:val="both"/>
        <w:rPr>
          <w:rFonts w:cs="Times New Roman"/>
          <w:szCs w:val="24"/>
        </w:rPr>
      </w:pPr>
      <w:r w:rsidRPr="00521357">
        <w:rPr>
          <w:rFonts w:cs="Times New Roman"/>
          <w:szCs w:val="24"/>
        </w:rPr>
        <w:t>Palyginus miest</w:t>
      </w:r>
      <w:r w:rsidR="007D63B3" w:rsidRPr="00521357">
        <w:rPr>
          <w:rFonts w:cs="Times New Roman"/>
          <w:szCs w:val="24"/>
        </w:rPr>
        <w:t>ų</w:t>
      </w:r>
      <w:r w:rsidR="002E0713" w:rsidRPr="00521357">
        <w:rPr>
          <w:rFonts w:cs="Times New Roman"/>
          <w:szCs w:val="24"/>
        </w:rPr>
        <w:t xml:space="preserve"> aplinkos oro užterštum</w:t>
      </w:r>
      <w:r w:rsidR="007D63B3" w:rsidRPr="00521357">
        <w:rPr>
          <w:rFonts w:cs="Times New Roman"/>
          <w:szCs w:val="24"/>
        </w:rPr>
        <w:t>ą</w:t>
      </w:r>
      <w:r w:rsidR="002E0713" w:rsidRPr="00521357">
        <w:rPr>
          <w:rFonts w:cs="Times New Roman"/>
          <w:szCs w:val="24"/>
        </w:rPr>
        <w:t xml:space="preserve"> KD2,5</w:t>
      </w:r>
      <w:r w:rsidR="007D63B3" w:rsidRPr="00521357">
        <w:rPr>
          <w:rFonts w:cs="Times New Roman"/>
          <w:szCs w:val="24"/>
        </w:rPr>
        <w:t>,</w:t>
      </w:r>
      <w:r w:rsidR="00244743" w:rsidRPr="00521357">
        <w:rPr>
          <w:rFonts w:cs="Times New Roman"/>
          <w:szCs w:val="24"/>
        </w:rPr>
        <w:t xml:space="preserve"> </w:t>
      </w:r>
      <w:r w:rsidRPr="00521357">
        <w:rPr>
          <w:rFonts w:cs="Times New Roman"/>
          <w:szCs w:val="24"/>
        </w:rPr>
        <w:t>2015</w:t>
      </w:r>
      <w:r w:rsidR="002E58F4">
        <w:rPr>
          <w:rFonts w:cs="Times New Roman"/>
          <w:szCs w:val="24"/>
        </w:rPr>
        <w:t>–</w:t>
      </w:r>
      <w:r w:rsidRPr="00521357">
        <w:rPr>
          <w:rFonts w:cs="Times New Roman"/>
          <w:szCs w:val="24"/>
        </w:rPr>
        <w:t>2017 m.</w:t>
      </w:r>
      <w:r w:rsidR="00385EF3" w:rsidRPr="00521357">
        <w:rPr>
          <w:rFonts w:cs="Times New Roman"/>
          <w:szCs w:val="24"/>
        </w:rPr>
        <w:t xml:space="preserve"> periodu</w:t>
      </w:r>
      <w:r w:rsidRPr="00521357">
        <w:rPr>
          <w:rFonts w:cs="Times New Roman"/>
          <w:szCs w:val="24"/>
        </w:rPr>
        <w:t xml:space="preserve"> didžiausias </w:t>
      </w:r>
      <w:r w:rsidR="007D63B3" w:rsidRPr="00521357">
        <w:rPr>
          <w:rFonts w:cs="Times New Roman"/>
          <w:szCs w:val="24"/>
        </w:rPr>
        <w:t xml:space="preserve">taršos lygis </w:t>
      </w:r>
      <w:r w:rsidRPr="00521357">
        <w:rPr>
          <w:rFonts w:cs="Times New Roman"/>
          <w:szCs w:val="24"/>
        </w:rPr>
        <w:t xml:space="preserve">buvo Mažeikiuose, Klaipėdoje ir Vilniuje, o </w:t>
      </w:r>
      <w:r w:rsidR="00244743" w:rsidRPr="00521357">
        <w:rPr>
          <w:rFonts w:cs="Times New Roman"/>
          <w:szCs w:val="24"/>
        </w:rPr>
        <w:t>202</w:t>
      </w:r>
      <w:r w:rsidR="000472B8" w:rsidRPr="00521357">
        <w:rPr>
          <w:rFonts w:cs="Times New Roman"/>
          <w:szCs w:val="24"/>
        </w:rPr>
        <w:t>1</w:t>
      </w:r>
      <w:r w:rsidR="002E58F4">
        <w:rPr>
          <w:rFonts w:cs="Times New Roman"/>
          <w:szCs w:val="24"/>
        </w:rPr>
        <w:t>–</w:t>
      </w:r>
      <w:r w:rsidR="00244743" w:rsidRPr="00521357">
        <w:rPr>
          <w:rFonts w:cs="Times New Roman"/>
          <w:szCs w:val="24"/>
        </w:rPr>
        <w:t>202</w:t>
      </w:r>
      <w:r w:rsidR="000472B8" w:rsidRPr="00521357">
        <w:rPr>
          <w:rFonts w:cs="Times New Roman"/>
          <w:szCs w:val="24"/>
        </w:rPr>
        <w:t>3</w:t>
      </w:r>
      <w:r w:rsidR="002E0713" w:rsidRPr="00521357">
        <w:rPr>
          <w:rFonts w:cs="Times New Roman"/>
          <w:szCs w:val="24"/>
        </w:rPr>
        <w:t xml:space="preserve"> </w:t>
      </w:r>
      <w:r w:rsidR="00244743" w:rsidRPr="00521357">
        <w:rPr>
          <w:rFonts w:cs="Times New Roman"/>
          <w:szCs w:val="24"/>
        </w:rPr>
        <w:t xml:space="preserve">metų periodu </w:t>
      </w:r>
      <w:r w:rsidRPr="00521357">
        <w:rPr>
          <w:rFonts w:cs="Times New Roman"/>
          <w:szCs w:val="24"/>
        </w:rPr>
        <w:t xml:space="preserve">– </w:t>
      </w:r>
      <w:r w:rsidR="00244743" w:rsidRPr="00521357">
        <w:rPr>
          <w:rFonts w:cs="Times New Roman"/>
          <w:szCs w:val="24"/>
        </w:rPr>
        <w:t>Šiauliuose</w:t>
      </w:r>
      <w:r w:rsidR="00385EF3" w:rsidRPr="00521357">
        <w:rPr>
          <w:rFonts w:cs="Times New Roman"/>
          <w:szCs w:val="24"/>
        </w:rPr>
        <w:t>, Vilniuje ir Klaipėdoje.</w:t>
      </w:r>
    </w:p>
    <w:p w14:paraId="7AF22C39" w14:textId="2886E6B5" w:rsidR="00C0538B" w:rsidRPr="00521357" w:rsidRDefault="005F453E" w:rsidP="009D28A8">
      <w:pPr>
        <w:ind w:firstLine="567"/>
        <w:jc w:val="both"/>
        <w:rPr>
          <w:rFonts w:cs="Times New Roman"/>
          <w:szCs w:val="24"/>
        </w:rPr>
      </w:pPr>
      <w:r w:rsidRPr="00521357">
        <w:rPr>
          <w:rFonts w:cs="Times New Roman"/>
          <w:szCs w:val="24"/>
        </w:rPr>
        <w:t>Priešlaikinį mirtingumą lemiančios oro taršos kietosiomis dalelėmis (KD2,5) mažėjimo tendencija</w:t>
      </w:r>
      <w:r w:rsidR="009D28A8" w:rsidRPr="00521357">
        <w:rPr>
          <w:rFonts w:cs="Times New Roman"/>
          <w:szCs w:val="24"/>
        </w:rPr>
        <w:t xml:space="preserve"> 202</w:t>
      </w:r>
      <w:r w:rsidR="00385EF3" w:rsidRPr="00521357">
        <w:rPr>
          <w:rFonts w:cs="Times New Roman"/>
          <w:szCs w:val="24"/>
        </w:rPr>
        <w:t>1</w:t>
      </w:r>
      <w:r w:rsidR="002E58F4">
        <w:rPr>
          <w:rFonts w:cs="Times New Roman"/>
          <w:szCs w:val="24"/>
        </w:rPr>
        <w:t>–</w:t>
      </w:r>
      <w:r w:rsidR="009D28A8" w:rsidRPr="00521357">
        <w:rPr>
          <w:rFonts w:cs="Times New Roman"/>
          <w:szCs w:val="24"/>
        </w:rPr>
        <w:t>202</w:t>
      </w:r>
      <w:r w:rsidR="00385EF3" w:rsidRPr="00521357">
        <w:rPr>
          <w:rFonts w:cs="Times New Roman"/>
          <w:szCs w:val="24"/>
        </w:rPr>
        <w:t>3</w:t>
      </w:r>
      <w:r w:rsidR="009D28A8" w:rsidRPr="00521357">
        <w:rPr>
          <w:rFonts w:cs="Times New Roman"/>
          <w:szCs w:val="24"/>
        </w:rPr>
        <w:t xml:space="preserve"> m.</w:t>
      </w:r>
      <w:r w:rsidR="00C0538B" w:rsidRPr="00521357">
        <w:rPr>
          <w:rFonts w:cs="Times New Roman"/>
          <w:szCs w:val="24"/>
        </w:rPr>
        <w:t>,</w:t>
      </w:r>
      <w:r w:rsidRPr="00521357">
        <w:rPr>
          <w:rFonts w:cs="Times New Roman"/>
          <w:szCs w:val="24"/>
        </w:rPr>
        <w:t xml:space="preserve"> </w:t>
      </w:r>
      <w:r w:rsidR="005C07D3" w:rsidRPr="00521357">
        <w:rPr>
          <w:rFonts w:cs="Times New Roman"/>
          <w:szCs w:val="24"/>
        </w:rPr>
        <w:t>palyginus su 2015</w:t>
      </w:r>
      <w:r w:rsidR="00C0538B" w:rsidRPr="00521357">
        <w:rPr>
          <w:rFonts w:cs="Times New Roman"/>
          <w:szCs w:val="24"/>
        </w:rPr>
        <w:t xml:space="preserve">–2017 m., </w:t>
      </w:r>
      <w:r w:rsidR="000D5FC0" w:rsidRPr="00521357">
        <w:rPr>
          <w:rFonts w:cs="Times New Roman"/>
          <w:szCs w:val="24"/>
        </w:rPr>
        <w:t>matoma visuose miestuose, išskyrus Šiaulius</w:t>
      </w:r>
      <w:r w:rsidR="006B3C5A" w:rsidRPr="00521357">
        <w:rPr>
          <w:rFonts w:cs="Times New Roman"/>
          <w:szCs w:val="24"/>
        </w:rPr>
        <w:t xml:space="preserve"> ir</w:t>
      </w:r>
      <w:r w:rsidR="00DE2DFB" w:rsidRPr="00521357">
        <w:rPr>
          <w:rFonts w:cs="Times New Roman"/>
          <w:szCs w:val="24"/>
        </w:rPr>
        <w:t xml:space="preserve"> Panevėžį</w:t>
      </w:r>
      <w:r w:rsidR="00C0538B" w:rsidRPr="00521357">
        <w:rPr>
          <w:rFonts w:cs="Times New Roman"/>
          <w:szCs w:val="24"/>
        </w:rPr>
        <w:t xml:space="preserve"> </w:t>
      </w:r>
      <w:r w:rsidR="000D5FC0" w:rsidRPr="00521357">
        <w:rPr>
          <w:rFonts w:cs="Times New Roman"/>
          <w:szCs w:val="24"/>
        </w:rPr>
        <w:t>(</w:t>
      </w:r>
      <w:r w:rsidR="00682EBE" w:rsidRPr="00521357">
        <w:rPr>
          <w:rFonts w:cs="Times New Roman"/>
          <w:szCs w:val="24"/>
        </w:rPr>
        <w:t>1 lentelė</w:t>
      </w:r>
      <w:r w:rsidR="000D5FC0" w:rsidRPr="00521357">
        <w:rPr>
          <w:rFonts w:cs="Times New Roman"/>
          <w:szCs w:val="24"/>
        </w:rPr>
        <w:t>).</w:t>
      </w:r>
      <w:r w:rsidR="006B3C5A" w:rsidRPr="00521357">
        <w:rPr>
          <w:rFonts w:cs="Times New Roman"/>
          <w:szCs w:val="24"/>
        </w:rPr>
        <w:t xml:space="preserve"> Tačiau palyginus</w:t>
      </w:r>
      <w:r w:rsidR="002372C3" w:rsidRPr="00521357">
        <w:rPr>
          <w:rFonts w:cs="Times New Roman"/>
          <w:szCs w:val="24"/>
        </w:rPr>
        <w:t xml:space="preserve"> </w:t>
      </w:r>
      <w:r w:rsidR="006B3C5A" w:rsidRPr="00521357">
        <w:rPr>
          <w:rFonts w:cs="Times New Roman"/>
          <w:szCs w:val="24"/>
        </w:rPr>
        <w:t>2021</w:t>
      </w:r>
      <w:r w:rsidR="002E58F4">
        <w:rPr>
          <w:rFonts w:cs="Times New Roman"/>
          <w:szCs w:val="24"/>
        </w:rPr>
        <w:t>–</w:t>
      </w:r>
      <w:r w:rsidR="006B3C5A" w:rsidRPr="00521357">
        <w:rPr>
          <w:rFonts w:cs="Times New Roman"/>
          <w:szCs w:val="24"/>
        </w:rPr>
        <w:t>2023 m. period</w:t>
      </w:r>
      <w:r w:rsidR="002372C3" w:rsidRPr="00521357">
        <w:rPr>
          <w:rFonts w:cs="Times New Roman"/>
          <w:szCs w:val="24"/>
        </w:rPr>
        <w:t>ą</w:t>
      </w:r>
      <w:r w:rsidR="006B3C5A" w:rsidRPr="00521357">
        <w:rPr>
          <w:rFonts w:cs="Times New Roman"/>
          <w:szCs w:val="24"/>
        </w:rPr>
        <w:t xml:space="preserve"> su 2020</w:t>
      </w:r>
      <w:r w:rsidR="002D46F6">
        <w:rPr>
          <w:rFonts w:cs="Times New Roman"/>
          <w:szCs w:val="24"/>
        </w:rPr>
        <w:t>–</w:t>
      </w:r>
      <w:r w:rsidR="006B3C5A" w:rsidRPr="00521357">
        <w:rPr>
          <w:rFonts w:cs="Times New Roman"/>
          <w:szCs w:val="24"/>
        </w:rPr>
        <w:t xml:space="preserve">2022 m. periodu, </w:t>
      </w:r>
      <w:r w:rsidR="002372C3" w:rsidRPr="00521357">
        <w:rPr>
          <w:rFonts w:cs="Times New Roman"/>
          <w:szCs w:val="24"/>
        </w:rPr>
        <w:t>aplinkos oro tarša KD2,5 mažėjo visuose miestuose</w:t>
      </w:r>
      <w:r w:rsidR="007D63B3" w:rsidRPr="00521357">
        <w:rPr>
          <w:rFonts w:cs="Times New Roman"/>
          <w:szCs w:val="24"/>
        </w:rPr>
        <w:t>, o Panevėžyje liko</w:t>
      </w:r>
      <w:r w:rsidR="00C370F4" w:rsidRPr="00521357">
        <w:rPr>
          <w:rFonts w:cs="Times New Roman"/>
          <w:szCs w:val="24"/>
        </w:rPr>
        <w:t xml:space="preserve"> pati.</w:t>
      </w:r>
    </w:p>
    <w:p w14:paraId="05637701" w14:textId="77777777" w:rsidR="00682EBE" w:rsidRPr="00521357" w:rsidRDefault="00682EBE" w:rsidP="009D28A8">
      <w:pPr>
        <w:ind w:firstLine="567"/>
        <w:jc w:val="both"/>
        <w:rPr>
          <w:rFonts w:cs="Times New Roman"/>
          <w:szCs w:val="24"/>
        </w:rPr>
      </w:pPr>
    </w:p>
    <w:tbl>
      <w:tblPr>
        <w:tblStyle w:val="Lentelstinklelis"/>
        <w:tblpPr w:leftFromText="180" w:rightFromText="180" w:vertAnchor="text" w:horzAnchor="margin" w:tblpY="611"/>
        <w:tblW w:w="0" w:type="auto"/>
        <w:tblLook w:val="04A0" w:firstRow="1" w:lastRow="0" w:firstColumn="1" w:lastColumn="0" w:noHBand="0" w:noVBand="1"/>
      </w:tblPr>
      <w:tblGrid>
        <w:gridCol w:w="1843"/>
        <w:gridCol w:w="987"/>
        <w:gridCol w:w="1543"/>
        <w:gridCol w:w="1119"/>
        <w:gridCol w:w="1131"/>
        <w:gridCol w:w="992"/>
        <w:gridCol w:w="993"/>
        <w:gridCol w:w="1020"/>
      </w:tblGrid>
      <w:tr w:rsidR="000472B8" w:rsidRPr="00521357" w14:paraId="35DC64E0" w14:textId="554DC308" w:rsidTr="00521357">
        <w:trPr>
          <w:trHeight w:val="288"/>
        </w:trPr>
        <w:tc>
          <w:tcPr>
            <w:tcW w:w="1843" w:type="dxa"/>
            <w:noWrap/>
            <w:hideMark/>
          </w:tcPr>
          <w:p w14:paraId="42765B7D" w14:textId="77777777" w:rsidR="000472B8" w:rsidRPr="00521357" w:rsidRDefault="000472B8" w:rsidP="002E5A39">
            <w:pPr>
              <w:ind w:firstLine="0"/>
              <w:jc w:val="both"/>
              <w:rPr>
                <w:rFonts w:cs="Times New Roman"/>
                <w:szCs w:val="24"/>
              </w:rPr>
            </w:pPr>
            <w:r w:rsidRPr="00521357">
              <w:rPr>
                <w:rFonts w:cs="Times New Roman"/>
                <w:szCs w:val="24"/>
              </w:rPr>
              <w:t xml:space="preserve">Miestas/periodas </w:t>
            </w:r>
          </w:p>
        </w:tc>
        <w:tc>
          <w:tcPr>
            <w:tcW w:w="987" w:type="dxa"/>
            <w:noWrap/>
            <w:hideMark/>
          </w:tcPr>
          <w:p w14:paraId="51A0AD2A" w14:textId="77777777" w:rsidR="000472B8" w:rsidRPr="00521357" w:rsidRDefault="000472B8" w:rsidP="002E5A39">
            <w:pPr>
              <w:ind w:firstLine="0"/>
              <w:jc w:val="both"/>
              <w:rPr>
                <w:rFonts w:cs="Times New Roman"/>
                <w:szCs w:val="24"/>
              </w:rPr>
            </w:pPr>
            <w:r w:rsidRPr="00521357">
              <w:rPr>
                <w:rFonts w:cs="Times New Roman"/>
                <w:szCs w:val="24"/>
              </w:rPr>
              <w:t>2015–2017</w:t>
            </w:r>
          </w:p>
        </w:tc>
        <w:tc>
          <w:tcPr>
            <w:tcW w:w="1543" w:type="dxa"/>
            <w:noWrap/>
            <w:hideMark/>
          </w:tcPr>
          <w:p w14:paraId="1C200D89" w14:textId="77777777" w:rsidR="000472B8" w:rsidRPr="00521357" w:rsidRDefault="000472B8" w:rsidP="002E5A39">
            <w:pPr>
              <w:ind w:firstLine="0"/>
              <w:jc w:val="both"/>
              <w:rPr>
                <w:rFonts w:cs="Times New Roman"/>
                <w:szCs w:val="24"/>
              </w:rPr>
            </w:pPr>
            <w:r w:rsidRPr="00521357">
              <w:rPr>
                <w:rFonts w:cs="Times New Roman"/>
                <w:szCs w:val="24"/>
              </w:rPr>
              <w:t>2016–2018</w:t>
            </w:r>
          </w:p>
        </w:tc>
        <w:tc>
          <w:tcPr>
            <w:tcW w:w="1119" w:type="dxa"/>
            <w:noWrap/>
            <w:hideMark/>
          </w:tcPr>
          <w:p w14:paraId="14B3FC1E" w14:textId="77777777" w:rsidR="000472B8" w:rsidRPr="00521357" w:rsidRDefault="000472B8" w:rsidP="002E5A39">
            <w:pPr>
              <w:ind w:firstLine="0"/>
              <w:jc w:val="both"/>
              <w:rPr>
                <w:rFonts w:cs="Times New Roman"/>
                <w:szCs w:val="24"/>
              </w:rPr>
            </w:pPr>
            <w:r w:rsidRPr="00521357">
              <w:rPr>
                <w:rFonts w:cs="Times New Roman"/>
                <w:szCs w:val="24"/>
              </w:rPr>
              <w:t>2017–2019</w:t>
            </w:r>
          </w:p>
        </w:tc>
        <w:tc>
          <w:tcPr>
            <w:tcW w:w="1131" w:type="dxa"/>
            <w:noWrap/>
            <w:hideMark/>
          </w:tcPr>
          <w:p w14:paraId="57DBB8FA" w14:textId="77777777" w:rsidR="000472B8" w:rsidRPr="00521357" w:rsidRDefault="000472B8" w:rsidP="002E5A39">
            <w:pPr>
              <w:ind w:firstLine="0"/>
              <w:jc w:val="both"/>
              <w:rPr>
                <w:rFonts w:cs="Times New Roman"/>
                <w:szCs w:val="24"/>
              </w:rPr>
            </w:pPr>
            <w:r w:rsidRPr="00521357">
              <w:rPr>
                <w:rFonts w:cs="Times New Roman"/>
                <w:szCs w:val="24"/>
              </w:rPr>
              <w:t>2018–2020</w:t>
            </w:r>
          </w:p>
        </w:tc>
        <w:tc>
          <w:tcPr>
            <w:tcW w:w="992" w:type="dxa"/>
            <w:noWrap/>
            <w:hideMark/>
          </w:tcPr>
          <w:p w14:paraId="235443DC" w14:textId="77777777" w:rsidR="000472B8" w:rsidRPr="00521357" w:rsidRDefault="000472B8" w:rsidP="002E5A39">
            <w:pPr>
              <w:ind w:firstLine="0"/>
              <w:jc w:val="both"/>
              <w:rPr>
                <w:rFonts w:cs="Times New Roman"/>
                <w:szCs w:val="24"/>
              </w:rPr>
            </w:pPr>
            <w:r w:rsidRPr="00521357">
              <w:rPr>
                <w:rFonts w:cs="Times New Roman"/>
                <w:szCs w:val="24"/>
              </w:rPr>
              <w:t>2019–2021</w:t>
            </w:r>
          </w:p>
        </w:tc>
        <w:tc>
          <w:tcPr>
            <w:tcW w:w="993" w:type="dxa"/>
            <w:noWrap/>
            <w:hideMark/>
          </w:tcPr>
          <w:p w14:paraId="72BC1E1E" w14:textId="0BEF7FCB" w:rsidR="000472B8" w:rsidRPr="00521357" w:rsidRDefault="000472B8" w:rsidP="002E5A39">
            <w:pPr>
              <w:ind w:firstLine="0"/>
              <w:jc w:val="both"/>
              <w:rPr>
                <w:rFonts w:cs="Times New Roman"/>
                <w:szCs w:val="24"/>
              </w:rPr>
            </w:pPr>
            <w:r w:rsidRPr="00521357">
              <w:rPr>
                <w:rFonts w:cs="Times New Roman"/>
                <w:szCs w:val="24"/>
              </w:rPr>
              <w:t>2020</w:t>
            </w:r>
            <w:r w:rsidR="002E58F4">
              <w:rPr>
                <w:rFonts w:cs="Times New Roman"/>
                <w:szCs w:val="24"/>
              </w:rPr>
              <w:t>–</w:t>
            </w:r>
            <w:r w:rsidRPr="00521357">
              <w:rPr>
                <w:rFonts w:cs="Times New Roman"/>
                <w:szCs w:val="24"/>
              </w:rPr>
              <w:t>2022</w:t>
            </w:r>
          </w:p>
        </w:tc>
        <w:tc>
          <w:tcPr>
            <w:tcW w:w="1020" w:type="dxa"/>
          </w:tcPr>
          <w:p w14:paraId="233FE3BF" w14:textId="1D27710A" w:rsidR="000472B8" w:rsidRPr="00521357" w:rsidRDefault="000472B8" w:rsidP="002E5A39">
            <w:pPr>
              <w:ind w:firstLine="0"/>
              <w:jc w:val="both"/>
              <w:rPr>
                <w:rFonts w:cs="Times New Roman"/>
                <w:szCs w:val="24"/>
              </w:rPr>
            </w:pPr>
            <w:r w:rsidRPr="00521357">
              <w:rPr>
                <w:rFonts w:cs="Times New Roman"/>
                <w:szCs w:val="24"/>
              </w:rPr>
              <w:t>2021</w:t>
            </w:r>
            <w:r w:rsidR="002E58F4">
              <w:rPr>
                <w:rFonts w:cs="Times New Roman"/>
                <w:szCs w:val="24"/>
              </w:rPr>
              <w:t>–</w:t>
            </w:r>
            <w:r w:rsidRPr="00521357">
              <w:rPr>
                <w:rFonts w:cs="Times New Roman"/>
                <w:szCs w:val="24"/>
              </w:rPr>
              <w:t>2023</w:t>
            </w:r>
          </w:p>
        </w:tc>
      </w:tr>
      <w:tr w:rsidR="000472B8" w:rsidRPr="00521357" w14:paraId="4C886FC0" w14:textId="6510E80E" w:rsidTr="00521357">
        <w:trPr>
          <w:trHeight w:val="288"/>
        </w:trPr>
        <w:tc>
          <w:tcPr>
            <w:tcW w:w="1843" w:type="dxa"/>
            <w:noWrap/>
            <w:hideMark/>
          </w:tcPr>
          <w:p w14:paraId="6316C881" w14:textId="77777777" w:rsidR="000472B8" w:rsidRPr="00521357" w:rsidRDefault="000472B8" w:rsidP="000472B8">
            <w:pPr>
              <w:ind w:firstLine="0"/>
              <w:jc w:val="both"/>
              <w:rPr>
                <w:rFonts w:cs="Times New Roman"/>
                <w:szCs w:val="24"/>
              </w:rPr>
            </w:pPr>
            <w:r w:rsidRPr="00521357">
              <w:rPr>
                <w:rFonts w:cs="Times New Roman"/>
                <w:szCs w:val="24"/>
              </w:rPr>
              <w:t xml:space="preserve">Vilnius </w:t>
            </w:r>
          </w:p>
        </w:tc>
        <w:tc>
          <w:tcPr>
            <w:tcW w:w="987" w:type="dxa"/>
            <w:noWrap/>
            <w:hideMark/>
          </w:tcPr>
          <w:p w14:paraId="7C16E29D" w14:textId="77777777" w:rsidR="000472B8" w:rsidRPr="00521357" w:rsidRDefault="000472B8" w:rsidP="000472B8">
            <w:pPr>
              <w:ind w:firstLine="0"/>
              <w:jc w:val="both"/>
              <w:rPr>
                <w:rFonts w:cs="Times New Roman"/>
                <w:szCs w:val="24"/>
              </w:rPr>
            </w:pPr>
            <w:r w:rsidRPr="00521357">
              <w:rPr>
                <w:rFonts w:cs="Times New Roman"/>
                <w:szCs w:val="24"/>
              </w:rPr>
              <w:t>14,5</w:t>
            </w:r>
          </w:p>
        </w:tc>
        <w:tc>
          <w:tcPr>
            <w:tcW w:w="1543" w:type="dxa"/>
            <w:noWrap/>
            <w:hideMark/>
          </w:tcPr>
          <w:p w14:paraId="15009481" w14:textId="77777777" w:rsidR="000472B8" w:rsidRPr="00521357" w:rsidRDefault="000472B8" w:rsidP="000472B8">
            <w:pPr>
              <w:ind w:firstLine="0"/>
              <w:jc w:val="both"/>
              <w:rPr>
                <w:rFonts w:cs="Times New Roman"/>
                <w:szCs w:val="24"/>
              </w:rPr>
            </w:pPr>
            <w:r w:rsidRPr="00521357">
              <w:rPr>
                <w:rFonts w:cs="Times New Roman"/>
                <w:szCs w:val="24"/>
              </w:rPr>
              <w:t>14,1</w:t>
            </w:r>
          </w:p>
        </w:tc>
        <w:tc>
          <w:tcPr>
            <w:tcW w:w="1119" w:type="dxa"/>
            <w:noWrap/>
            <w:hideMark/>
          </w:tcPr>
          <w:p w14:paraId="524DC8E4" w14:textId="77777777" w:rsidR="000472B8" w:rsidRPr="00521357" w:rsidRDefault="000472B8" w:rsidP="000472B8">
            <w:pPr>
              <w:ind w:firstLine="0"/>
              <w:jc w:val="both"/>
              <w:rPr>
                <w:rFonts w:cs="Times New Roman"/>
                <w:szCs w:val="24"/>
              </w:rPr>
            </w:pPr>
            <w:r w:rsidRPr="00521357">
              <w:rPr>
                <w:rFonts w:cs="Times New Roman"/>
                <w:szCs w:val="24"/>
              </w:rPr>
              <w:t>13,4</w:t>
            </w:r>
          </w:p>
        </w:tc>
        <w:tc>
          <w:tcPr>
            <w:tcW w:w="1131" w:type="dxa"/>
            <w:noWrap/>
            <w:hideMark/>
          </w:tcPr>
          <w:p w14:paraId="0D20BD3B" w14:textId="77777777" w:rsidR="000472B8" w:rsidRPr="00521357" w:rsidRDefault="000472B8" w:rsidP="000472B8">
            <w:pPr>
              <w:ind w:firstLine="0"/>
              <w:jc w:val="both"/>
              <w:rPr>
                <w:rFonts w:cs="Times New Roman"/>
                <w:szCs w:val="24"/>
              </w:rPr>
            </w:pPr>
            <w:r w:rsidRPr="00521357">
              <w:rPr>
                <w:rFonts w:cs="Times New Roman"/>
                <w:szCs w:val="24"/>
              </w:rPr>
              <w:t>12,8</w:t>
            </w:r>
          </w:p>
        </w:tc>
        <w:tc>
          <w:tcPr>
            <w:tcW w:w="992" w:type="dxa"/>
            <w:noWrap/>
            <w:hideMark/>
          </w:tcPr>
          <w:p w14:paraId="3C083136" w14:textId="77777777" w:rsidR="000472B8" w:rsidRPr="00521357" w:rsidRDefault="000472B8" w:rsidP="000472B8">
            <w:pPr>
              <w:ind w:firstLine="0"/>
              <w:jc w:val="both"/>
              <w:rPr>
                <w:rFonts w:cs="Times New Roman"/>
                <w:szCs w:val="24"/>
              </w:rPr>
            </w:pPr>
            <w:r w:rsidRPr="00521357">
              <w:rPr>
                <w:rFonts w:cs="Times New Roman"/>
                <w:szCs w:val="24"/>
              </w:rPr>
              <w:t>12,5</w:t>
            </w:r>
          </w:p>
        </w:tc>
        <w:tc>
          <w:tcPr>
            <w:tcW w:w="993" w:type="dxa"/>
            <w:noWrap/>
            <w:hideMark/>
          </w:tcPr>
          <w:p w14:paraId="2154C7F9" w14:textId="77777777" w:rsidR="000472B8" w:rsidRPr="00521357" w:rsidRDefault="000472B8" w:rsidP="000472B8">
            <w:pPr>
              <w:ind w:firstLine="0"/>
              <w:jc w:val="both"/>
              <w:rPr>
                <w:rFonts w:cs="Times New Roman"/>
                <w:szCs w:val="24"/>
              </w:rPr>
            </w:pPr>
            <w:r w:rsidRPr="00521357">
              <w:rPr>
                <w:rFonts w:cs="Times New Roman"/>
                <w:szCs w:val="24"/>
              </w:rPr>
              <w:t>12,3</w:t>
            </w:r>
          </w:p>
        </w:tc>
        <w:tc>
          <w:tcPr>
            <w:tcW w:w="1020" w:type="dxa"/>
            <w:vAlign w:val="bottom"/>
          </w:tcPr>
          <w:p w14:paraId="54A360D6" w14:textId="71CC368F" w:rsidR="000472B8" w:rsidRPr="00521357" w:rsidRDefault="000472B8" w:rsidP="000472B8">
            <w:pPr>
              <w:ind w:firstLine="0"/>
              <w:jc w:val="both"/>
              <w:rPr>
                <w:rFonts w:cs="Times New Roman"/>
                <w:szCs w:val="24"/>
              </w:rPr>
            </w:pPr>
            <w:r w:rsidRPr="00521357">
              <w:rPr>
                <w:rFonts w:cs="Times New Roman"/>
                <w:color w:val="000000"/>
                <w:szCs w:val="24"/>
              </w:rPr>
              <w:t>11,5</w:t>
            </w:r>
          </w:p>
        </w:tc>
      </w:tr>
      <w:tr w:rsidR="000472B8" w:rsidRPr="00521357" w14:paraId="23663C55" w14:textId="1AC6E655" w:rsidTr="00521357">
        <w:trPr>
          <w:trHeight w:val="288"/>
        </w:trPr>
        <w:tc>
          <w:tcPr>
            <w:tcW w:w="1843" w:type="dxa"/>
            <w:noWrap/>
            <w:hideMark/>
          </w:tcPr>
          <w:p w14:paraId="2933FFDA" w14:textId="77777777" w:rsidR="000472B8" w:rsidRPr="00521357" w:rsidRDefault="000472B8" w:rsidP="000472B8">
            <w:pPr>
              <w:ind w:firstLine="0"/>
              <w:jc w:val="both"/>
              <w:rPr>
                <w:rFonts w:cs="Times New Roman"/>
                <w:szCs w:val="24"/>
              </w:rPr>
            </w:pPr>
            <w:r w:rsidRPr="00521357">
              <w:rPr>
                <w:rFonts w:cs="Times New Roman"/>
                <w:szCs w:val="24"/>
              </w:rPr>
              <w:t>Kaunas</w:t>
            </w:r>
          </w:p>
        </w:tc>
        <w:tc>
          <w:tcPr>
            <w:tcW w:w="987" w:type="dxa"/>
            <w:noWrap/>
            <w:hideMark/>
          </w:tcPr>
          <w:p w14:paraId="4AEB25A3" w14:textId="77777777" w:rsidR="000472B8" w:rsidRPr="00521357" w:rsidRDefault="000472B8" w:rsidP="000472B8">
            <w:pPr>
              <w:ind w:firstLine="0"/>
              <w:jc w:val="both"/>
              <w:rPr>
                <w:rFonts w:cs="Times New Roman"/>
                <w:szCs w:val="24"/>
              </w:rPr>
            </w:pPr>
            <w:r w:rsidRPr="00521357">
              <w:rPr>
                <w:rFonts w:cs="Times New Roman"/>
                <w:szCs w:val="24"/>
              </w:rPr>
              <w:t>11</w:t>
            </w:r>
          </w:p>
        </w:tc>
        <w:tc>
          <w:tcPr>
            <w:tcW w:w="1543" w:type="dxa"/>
            <w:noWrap/>
            <w:hideMark/>
          </w:tcPr>
          <w:p w14:paraId="3A0FB715" w14:textId="77777777" w:rsidR="000472B8" w:rsidRPr="00521357" w:rsidRDefault="000472B8" w:rsidP="000472B8">
            <w:pPr>
              <w:ind w:firstLine="0"/>
              <w:jc w:val="both"/>
              <w:rPr>
                <w:rFonts w:cs="Times New Roman"/>
                <w:szCs w:val="24"/>
              </w:rPr>
            </w:pPr>
            <w:r w:rsidRPr="00521357">
              <w:rPr>
                <w:rFonts w:cs="Times New Roman"/>
                <w:szCs w:val="24"/>
              </w:rPr>
              <w:t>11,4</w:t>
            </w:r>
          </w:p>
        </w:tc>
        <w:tc>
          <w:tcPr>
            <w:tcW w:w="1119" w:type="dxa"/>
            <w:noWrap/>
            <w:hideMark/>
          </w:tcPr>
          <w:p w14:paraId="07EF6471" w14:textId="77777777" w:rsidR="000472B8" w:rsidRPr="00521357" w:rsidRDefault="000472B8" w:rsidP="000472B8">
            <w:pPr>
              <w:ind w:firstLine="0"/>
              <w:jc w:val="both"/>
              <w:rPr>
                <w:rFonts w:cs="Times New Roman"/>
                <w:szCs w:val="24"/>
              </w:rPr>
            </w:pPr>
            <w:r w:rsidRPr="00521357">
              <w:rPr>
                <w:rFonts w:cs="Times New Roman"/>
                <w:szCs w:val="24"/>
              </w:rPr>
              <w:t>12,4</w:t>
            </w:r>
          </w:p>
        </w:tc>
        <w:tc>
          <w:tcPr>
            <w:tcW w:w="1131" w:type="dxa"/>
            <w:noWrap/>
            <w:hideMark/>
          </w:tcPr>
          <w:p w14:paraId="05ED054B" w14:textId="77777777" w:rsidR="000472B8" w:rsidRPr="00521357" w:rsidRDefault="000472B8" w:rsidP="000472B8">
            <w:pPr>
              <w:ind w:firstLine="0"/>
              <w:jc w:val="both"/>
              <w:rPr>
                <w:rFonts w:cs="Times New Roman"/>
                <w:szCs w:val="24"/>
              </w:rPr>
            </w:pPr>
            <w:r w:rsidRPr="00521357">
              <w:rPr>
                <w:rFonts w:cs="Times New Roman"/>
                <w:szCs w:val="24"/>
              </w:rPr>
              <w:t>12,3</w:t>
            </w:r>
          </w:p>
        </w:tc>
        <w:tc>
          <w:tcPr>
            <w:tcW w:w="992" w:type="dxa"/>
            <w:noWrap/>
            <w:hideMark/>
          </w:tcPr>
          <w:p w14:paraId="70F0B13C" w14:textId="77777777" w:rsidR="000472B8" w:rsidRPr="00521357" w:rsidRDefault="000472B8" w:rsidP="000472B8">
            <w:pPr>
              <w:ind w:firstLine="0"/>
              <w:jc w:val="both"/>
              <w:rPr>
                <w:rFonts w:cs="Times New Roman"/>
                <w:szCs w:val="24"/>
              </w:rPr>
            </w:pPr>
            <w:r w:rsidRPr="00521357">
              <w:rPr>
                <w:rFonts w:cs="Times New Roman"/>
                <w:szCs w:val="24"/>
              </w:rPr>
              <w:t>11,8</w:t>
            </w:r>
          </w:p>
        </w:tc>
        <w:tc>
          <w:tcPr>
            <w:tcW w:w="993" w:type="dxa"/>
            <w:noWrap/>
            <w:hideMark/>
          </w:tcPr>
          <w:p w14:paraId="5CCC4454" w14:textId="77777777" w:rsidR="000472B8" w:rsidRPr="00521357" w:rsidRDefault="000472B8" w:rsidP="000472B8">
            <w:pPr>
              <w:ind w:firstLine="0"/>
              <w:jc w:val="both"/>
              <w:rPr>
                <w:rFonts w:cs="Times New Roman"/>
                <w:szCs w:val="24"/>
              </w:rPr>
            </w:pPr>
            <w:r w:rsidRPr="00521357">
              <w:rPr>
                <w:rFonts w:cs="Times New Roman"/>
                <w:szCs w:val="24"/>
              </w:rPr>
              <w:t>10,4</w:t>
            </w:r>
          </w:p>
        </w:tc>
        <w:tc>
          <w:tcPr>
            <w:tcW w:w="1020" w:type="dxa"/>
            <w:vAlign w:val="bottom"/>
          </w:tcPr>
          <w:p w14:paraId="5B7F16A1" w14:textId="42560449" w:rsidR="000472B8" w:rsidRPr="00521357" w:rsidRDefault="000472B8" w:rsidP="000472B8">
            <w:pPr>
              <w:ind w:firstLine="0"/>
              <w:jc w:val="both"/>
              <w:rPr>
                <w:rFonts w:cs="Times New Roman"/>
                <w:szCs w:val="24"/>
              </w:rPr>
            </w:pPr>
            <w:r w:rsidRPr="00521357">
              <w:rPr>
                <w:rFonts w:cs="Times New Roman"/>
                <w:color w:val="000000"/>
                <w:szCs w:val="24"/>
              </w:rPr>
              <w:t>9,7</w:t>
            </w:r>
          </w:p>
        </w:tc>
      </w:tr>
      <w:tr w:rsidR="000472B8" w:rsidRPr="00521357" w14:paraId="7CB988D4" w14:textId="359410D4" w:rsidTr="00521357">
        <w:trPr>
          <w:trHeight w:val="288"/>
        </w:trPr>
        <w:tc>
          <w:tcPr>
            <w:tcW w:w="1843" w:type="dxa"/>
            <w:noWrap/>
            <w:hideMark/>
          </w:tcPr>
          <w:p w14:paraId="24255F59" w14:textId="77777777" w:rsidR="000472B8" w:rsidRPr="00521357" w:rsidRDefault="000472B8" w:rsidP="000472B8">
            <w:pPr>
              <w:ind w:firstLine="0"/>
              <w:jc w:val="both"/>
              <w:rPr>
                <w:rFonts w:cs="Times New Roman"/>
                <w:szCs w:val="24"/>
              </w:rPr>
            </w:pPr>
            <w:r w:rsidRPr="00521357">
              <w:rPr>
                <w:rFonts w:cs="Times New Roman"/>
                <w:szCs w:val="24"/>
              </w:rPr>
              <w:t>Klaipėda</w:t>
            </w:r>
          </w:p>
        </w:tc>
        <w:tc>
          <w:tcPr>
            <w:tcW w:w="987" w:type="dxa"/>
            <w:noWrap/>
            <w:hideMark/>
          </w:tcPr>
          <w:p w14:paraId="48C7A456" w14:textId="77777777" w:rsidR="000472B8" w:rsidRPr="00521357" w:rsidRDefault="000472B8" w:rsidP="000472B8">
            <w:pPr>
              <w:ind w:firstLine="0"/>
              <w:jc w:val="both"/>
              <w:rPr>
                <w:rFonts w:cs="Times New Roman"/>
                <w:szCs w:val="24"/>
              </w:rPr>
            </w:pPr>
            <w:r w:rsidRPr="00521357">
              <w:rPr>
                <w:rFonts w:cs="Times New Roman"/>
                <w:szCs w:val="24"/>
              </w:rPr>
              <w:t>14,6</w:t>
            </w:r>
          </w:p>
        </w:tc>
        <w:tc>
          <w:tcPr>
            <w:tcW w:w="1543" w:type="dxa"/>
            <w:noWrap/>
            <w:hideMark/>
          </w:tcPr>
          <w:p w14:paraId="2DF84A44" w14:textId="77777777" w:rsidR="000472B8" w:rsidRPr="00521357" w:rsidRDefault="000472B8" w:rsidP="000472B8">
            <w:pPr>
              <w:ind w:firstLine="0"/>
              <w:jc w:val="both"/>
              <w:rPr>
                <w:rFonts w:cs="Times New Roman"/>
                <w:szCs w:val="24"/>
              </w:rPr>
            </w:pPr>
            <w:r w:rsidRPr="00521357">
              <w:rPr>
                <w:rFonts w:cs="Times New Roman"/>
                <w:szCs w:val="24"/>
              </w:rPr>
              <w:t>14,5</w:t>
            </w:r>
          </w:p>
        </w:tc>
        <w:tc>
          <w:tcPr>
            <w:tcW w:w="1119" w:type="dxa"/>
            <w:noWrap/>
            <w:hideMark/>
          </w:tcPr>
          <w:p w14:paraId="2945D012" w14:textId="77777777" w:rsidR="000472B8" w:rsidRPr="00521357" w:rsidRDefault="000472B8" w:rsidP="000472B8">
            <w:pPr>
              <w:ind w:firstLine="0"/>
              <w:jc w:val="both"/>
              <w:rPr>
                <w:rFonts w:cs="Times New Roman"/>
                <w:szCs w:val="24"/>
              </w:rPr>
            </w:pPr>
            <w:r w:rsidRPr="00521357">
              <w:rPr>
                <w:rFonts w:cs="Times New Roman"/>
                <w:szCs w:val="24"/>
              </w:rPr>
              <w:t>14,2</w:t>
            </w:r>
          </w:p>
        </w:tc>
        <w:tc>
          <w:tcPr>
            <w:tcW w:w="1131" w:type="dxa"/>
            <w:noWrap/>
            <w:hideMark/>
          </w:tcPr>
          <w:p w14:paraId="764C134F" w14:textId="77777777" w:rsidR="000472B8" w:rsidRPr="00521357" w:rsidRDefault="000472B8" w:rsidP="000472B8">
            <w:pPr>
              <w:ind w:firstLine="0"/>
              <w:jc w:val="both"/>
              <w:rPr>
                <w:rFonts w:cs="Times New Roman"/>
                <w:szCs w:val="24"/>
              </w:rPr>
            </w:pPr>
            <w:r w:rsidRPr="00521357">
              <w:rPr>
                <w:rFonts w:cs="Times New Roman"/>
                <w:szCs w:val="24"/>
              </w:rPr>
              <w:t>13,2</w:t>
            </w:r>
          </w:p>
        </w:tc>
        <w:tc>
          <w:tcPr>
            <w:tcW w:w="992" w:type="dxa"/>
            <w:noWrap/>
            <w:hideMark/>
          </w:tcPr>
          <w:p w14:paraId="5F8DB68F" w14:textId="77777777" w:rsidR="000472B8" w:rsidRPr="00521357" w:rsidRDefault="000472B8" w:rsidP="000472B8">
            <w:pPr>
              <w:ind w:firstLine="0"/>
              <w:jc w:val="both"/>
              <w:rPr>
                <w:rFonts w:cs="Times New Roman"/>
                <w:szCs w:val="24"/>
              </w:rPr>
            </w:pPr>
            <w:r w:rsidRPr="00521357">
              <w:rPr>
                <w:rFonts w:cs="Times New Roman"/>
                <w:szCs w:val="24"/>
              </w:rPr>
              <w:t>11,4</w:t>
            </w:r>
          </w:p>
        </w:tc>
        <w:tc>
          <w:tcPr>
            <w:tcW w:w="993" w:type="dxa"/>
            <w:noWrap/>
            <w:hideMark/>
          </w:tcPr>
          <w:p w14:paraId="5AA16556" w14:textId="77777777" w:rsidR="000472B8" w:rsidRPr="00521357" w:rsidRDefault="000472B8" w:rsidP="000472B8">
            <w:pPr>
              <w:ind w:firstLine="0"/>
              <w:jc w:val="both"/>
              <w:rPr>
                <w:rFonts w:cs="Times New Roman"/>
                <w:szCs w:val="24"/>
              </w:rPr>
            </w:pPr>
            <w:r w:rsidRPr="00521357">
              <w:rPr>
                <w:rFonts w:cs="Times New Roman"/>
                <w:szCs w:val="24"/>
              </w:rPr>
              <w:t>11,7</w:t>
            </w:r>
          </w:p>
        </w:tc>
        <w:tc>
          <w:tcPr>
            <w:tcW w:w="1020" w:type="dxa"/>
            <w:vAlign w:val="bottom"/>
          </w:tcPr>
          <w:p w14:paraId="0C5675E7" w14:textId="78EF3391" w:rsidR="000472B8" w:rsidRPr="00521357" w:rsidRDefault="000472B8" w:rsidP="000472B8">
            <w:pPr>
              <w:ind w:firstLine="0"/>
              <w:jc w:val="both"/>
              <w:rPr>
                <w:rFonts w:cs="Times New Roman"/>
                <w:szCs w:val="24"/>
              </w:rPr>
            </w:pPr>
            <w:r w:rsidRPr="00521357">
              <w:rPr>
                <w:rFonts w:cs="Times New Roman"/>
                <w:color w:val="000000"/>
                <w:szCs w:val="24"/>
              </w:rPr>
              <w:t>11,7</w:t>
            </w:r>
          </w:p>
        </w:tc>
      </w:tr>
      <w:tr w:rsidR="000472B8" w:rsidRPr="00521357" w14:paraId="6C85943C" w14:textId="6BF5CD12" w:rsidTr="00521357">
        <w:trPr>
          <w:trHeight w:val="288"/>
        </w:trPr>
        <w:tc>
          <w:tcPr>
            <w:tcW w:w="1843" w:type="dxa"/>
            <w:noWrap/>
            <w:hideMark/>
          </w:tcPr>
          <w:p w14:paraId="74C31F21" w14:textId="77777777" w:rsidR="000472B8" w:rsidRPr="00521357" w:rsidRDefault="000472B8" w:rsidP="000472B8">
            <w:pPr>
              <w:ind w:firstLine="0"/>
              <w:jc w:val="both"/>
              <w:rPr>
                <w:rFonts w:cs="Times New Roman"/>
                <w:szCs w:val="24"/>
              </w:rPr>
            </w:pPr>
            <w:r w:rsidRPr="00521357">
              <w:rPr>
                <w:rFonts w:cs="Times New Roman"/>
                <w:szCs w:val="24"/>
              </w:rPr>
              <w:t>Panevėžys</w:t>
            </w:r>
          </w:p>
        </w:tc>
        <w:tc>
          <w:tcPr>
            <w:tcW w:w="987" w:type="dxa"/>
            <w:noWrap/>
            <w:hideMark/>
          </w:tcPr>
          <w:p w14:paraId="7C8E2767" w14:textId="77777777" w:rsidR="000472B8" w:rsidRPr="00521357" w:rsidRDefault="000472B8" w:rsidP="000472B8">
            <w:pPr>
              <w:ind w:firstLine="0"/>
              <w:jc w:val="both"/>
              <w:rPr>
                <w:rFonts w:cs="Times New Roman"/>
                <w:szCs w:val="24"/>
              </w:rPr>
            </w:pPr>
            <w:r w:rsidRPr="00521357">
              <w:rPr>
                <w:rFonts w:cs="Times New Roman"/>
                <w:szCs w:val="24"/>
              </w:rPr>
              <w:t>8,7</w:t>
            </w:r>
          </w:p>
        </w:tc>
        <w:tc>
          <w:tcPr>
            <w:tcW w:w="1543" w:type="dxa"/>
            <w:noWrap/>
            <w:hideMark/>
          </w:tcPr>
          <w:p w14:paraId="748A8257" w14:textId="77777777" w:rsidR="000472B8" w:rsidRPr="00521357" w:rsidRDefault="000472B8" w:rsidP="000472B8">
            <w:pPr>
              <w:ind w:firstLine="0"/>
              <w:jc w:val="both"/>
              <w:rPr>
                <w:rFonts w:cs="Times New Roman"/>
                <w:szCs w:val="24"/>
              </w:rPr>
            </w:pPr>
            <w:r w:rsidRPr="00521357">
              <w:rPr>
                <w:rFonts w:cs="Times New Roman"/>
                <w:szCs w:val="24"/>
              </w:rPr>
              <w:t>9</w:t>
            </w:r>
          </w:p>
        </w:tc>
        <w:tc>
          <w:tcPr>
            <w:tcW w:w="1119" w:type="dxa"/>
            <w:noWrap/>
            <w:hideMark/>
          </w:tcPr>
          <w:p w14:paraId="00B7416A" w14:textId="77777777" w:rsidR="000472B8" w:rsidRPr="00521357" w:rsidRDefault="000472B8" w:rsidP="000472B8">
            <w:pPr>
              <w:ind w:firstLine="0"/>
              <w:jc w:val="both"/>
              <w:rPr>
                <w:rFonts w:cs="Times New Roman"/>
                <w:szCs w:val="24"/>
              </w:rPr>
            </w:pPr>
            <w:r w:rsidRPr="00521357">
              <w:rPr>
                <w:rFonts w:cs="Times New Roman"/>
                <w:szCs w:val="24"/>
              </w:rPr>
              <w:t>10,7</w:t>
            </w:r>
          </w:p>
        </w:tc>
        <w:tc>
          <w:tcPr>
            <w:tcW w:w="1131" w:type="dxa"/>
            <w:noWrap/>
            <w:hideMark/>
          </w:tcPr>
          <w:p w14:paraId="11553216" w14:textId="77777777" w:rsidR="000472B8" w:rsidRPr="00521357" w:rsidRDefault="000472B8" w:rsidP="000472B8">
            <w:pPr>
              <w:ind w:firstLine="0"/>
              <w:jc w:val="both"/>
              <w:rPr>
                <w:rFonts w:cs="Times New Roman"/>
                <w:szCs w:val="24"/>
              </w:rPr>
            </w:pPr>
            <w:r w:rsidRPr="00521357">
              <w:rPr>
                <w:rFonts w:cs="Times New Roman"/>
                <w:szCs w:val="24"/>
              </w:rPr>
              <w:t>11,9</w:t>
            </w:r>
          </w:p>
        </w:tc>
        <w:tc>
          <w:tcPr>
            <w:tcW w:w="992" w:type="dxa"/>
            <w:noWrap/>
            <w:hideMark/>
          </w:tcPr>
          <w:p w14:paraId="0C6F40C6" w14:textId="77777777" w:rsidR="000472B8" w:rsidRPr="00521357" w:rsidRDefault="000472B8" w:rsidP="000472B8">
            <w:pPr>
              <w:ind w:firstLine="0"/>
              <w:jc w:val="both"/>
              <w:rPr>
                <w:rFonts w:cs="Times New Roman"/>
                <w:szCs w:val="24"/>
              </w:rPr>
            </w:pPr>
            <w:r w:rsidRPr="00521357">
              <w:rPr>
                <w:rFonts w:cs="Times New Roman"/>
                <w:szCs w:val="24"/>
              </w:rPr>
              <w:t>12,5</w:t>
            </w:r>
          </w:p>
        </w:tc>
        <w:tc>
          <w:tcPr>
            <w:tcW w:w="993" w:type="dxa"/>
            <w:noWrap/>
            <w:hideMark/>
          </w:tcPr>
          <w:p w14:paraId="2314B58C" w14:textId="77777777" w:rsidR="000472B8" w:rsidRPr="00521357" w:rsidRDefault="000472B8" w:rsidP="000472B8">
            <w:pPr>
              <w:ind w:firstLine="0"/>
              <w:jc w:val="both"/>
              <w:rPr>
                <w:rFonts w:cs="Times New Roman"/>
                <w:szCs w:val="24"/>
              </w:rPr>
            </w:pPr>
            <w:r w:rsidRPr="00521357">
              <w:rPr>
                <w:rFonts w:cs="Times New Roman"/>
                <w:szCs w:val="24"/>
              </w:rPr>
              <w:t>11</w:t>
            </w:r>
          </w:p>
        </w:tc>
        <w:tc>
          <w:tcPr>
            <w:tcW w:w="1020" w:type="dxa"/>
            <w:vAlign w:val="bottom"/>
          </w:tcPr>
          <w:p w14:paraId="4FC9278B" w14:textId="0B9A33B8" w:rsidR="000472B8" w:rsidRPr="00521357" w:rsidRDefault="000472B8" w:rsidP="000472B8">
            <w:pPr>
              <w:ind w:firstLine="0"/>
              <w:jc w:val="both"/>
              <w:rPr>
                <w:rFonts w:cs="Times New Roman"/>
                <w:szCs w:val="24"/>
              </w:rPr>
            </w:pPr>
            <w:r w:rsidRPr="00521357">
              <w:rPr>
                <w:rFonts w:cs="Times New Roman"/>
                <w:color w:val="000000"/>
                <w:szCs w:val="24"/>
              </w:rPr>
              <w:t>10,1</w:t>
            </w:r>
          </w:p>
        </w:tc>
      </w:tr>
      <w:tr w:rsidR="000472B8" w:rsidRPr="00521357" w14:paraId="63F213B1" w14:textId="72FEF102" w:rsidTr="00521357">
        <w:trPr>
          <w:trHeight w:val="288"/>
        </w:trPr>
        <w:tc>
          <w:tcPr>
            <w:tcW w:w="1843" w:type="dxa"/>
            <w:noWrap/>
            <w:hideMark/>
          </w:tcPr>
          <w:p w14:paraId="5B94B838" w14:textId="77777777" w:rsidR="000472B8" w:rsidRPr="00521357" w:rsidRDefault="000472B8" w:rsidP="000472B8">
            <w:pPr>
              <w:ind w:firstLine="0"/>
              <w:jc w:val="both"/>
              <w:rPr>
                <w:rFonts w:cs="Times New Roman"/>
                <w:szCs w:val="24"/>
              </w:rPr>
            </w:pPr>
            <w:r w:rsidRPr="00521357">
              <w:rPr>
                <w:rFonts w:cs="Times New Roman"/>
                <w:szCs w:val="24"/>
              </w:rPr>
              <w:t xml:space="preserve">Šiauliai </w:t>
            </w:r>
          </w:p>
        </w:tc>
        <w:tc>
          <w:tcPr>
            <w:tcW w:w="987" w:type="dxa"/>
            <w:noWrap/>
            <w:hideMark/>
          </w:tcPr>
          <w:p w14:paraId="736C2CA9" w14:textId="77777777" w:rsidR="000472B8" w:rsidRPr="00521357" w:rsidRDefault="000472B8" w:rsidP="000472B8">
            <w:pPr>
              <w:ind w:firstLine="0"/>
              <w:jc w:val="both"/>
              <w:rPr>
                <w:rFonts w:cs="Times New Roman"/>
                <w:szCs w:val="24"/>
              </w:rPr>
            </w:pPr>
            <w:r w:rsidRPr="00521357">
              <w:rPr>
                <w:rFonts w:cs="Times New Roman"/>
                <w:szCs w:val="24"/>
              </w:rPr>
              <w:t>10,2</w:t>
            </w:r>
          </w:p>
        </w:tc>
        <w:tc>
          <w:tcPr>
            <w:tcW w:w="1543" w:type="dxa"/>
            <w:noWrap/>
            <w:hideMark/>
          </w:tcPr>
          <w:p w14:paraId="17FA33F3" w14:textId="77777777" w:rsidR="000472B8" w:rsidRPr="00521357" w:rsidRDefault="000472B8" w:rsidP="000472B8">
            <w:pPr>
              <w:ind w:firstLine="0"/>
              <w:jc w:val="both"/>
              <w:rPr>
                <w:rFonts w:cs="Times New Roman"/>
                <w:szCs w:val="24"/>
              </w:rPr>
            </w:pPr>
            <w:r w:rsidRPr="00521357">
              <w:rPr>
                <w:rFonts w:cs="Times New Roman"/>
                <w:szCs w:val="24"/>
              </w:rPr>
              <w:t>12,1</w:t>
            </w:r>
          </w:p>
        </w:tc>
        <w:tc>
          <w:tcPr>
            <w:tcW w:w="1119" w:type="dxa"/>
            <w:noWrap/>
            <w:hideMark/>
          </w:tcPr>
          <w:p w14:paraId="74A7C21F" w14:textId="77777777" w:rsidR="000472B8" w:rsidRPr="00521357" w:rsidRDefault="000472B8" w:rsidP="000472B8">
            <w:pPr>
              <w:ind w:firstLine="0"/>
              <w:jc w:val="both"/>
              <w:rPr>
                <w:rFonts w:cs="Times New Roman"/>
                <w:szCs w:val="24"/>
              </w:rPr>
            </w:pPr>
            <w:r w:rsidRPr="00521357">
              <w:rPr>
                <w:rFonts w:cs="Times New Roman"/>
                <w:szCs w:val="24"/>
              </w:rPr>
              <w:t>13,1</w:t>
            </w:r>
          </w:p>
        </w:tc>
        <w:tc>
          <w:tcPr>
            <w:tcW w:w="1131" w:type="dxa"/>
            <w:noWrap/>
            <w:hideMark/>
          </w:tcPr>
          <w:p w14:paraId="62CF1F16" w14:textId="77777777" w:rsidR="000472B8" w:rsidRPr="00521357" w:rsidRDefault="000472B8" w:rsidP="000472B8">
            <w:pPr>
              <w:ind w:firstLine="0"/>
              <w:jc w:val="both"/>
              <w:rPr>
                <w:rFonts w:cs="Times New Roman"/>
                <w:szCs w:val="24"/>
              </w:rPr>
            </w:pPr>
            <w:r w:rsidRPr="00521357">
              <w:rPr>
                <w:rFonts w:cs="Times New Roman"/>
                <w:szCs w:val="24"/>
              </w:rPr>
              <w:t>14,4</w:t>
            </w:r>
          </w:p>
        </w:tc>
        <w:tc>
          <w:tcPr>
            <w:tcW w:w="992" w:type="dxa"/>
            <w:noWrap/>
            <w:hideMark/>
          </w:tcPr>
          <w:p w14:paraId="3EE88AB3" w14:textId="77777777" w:rsidR="000472B8" w:rsidRPr="00521357" w:rsidRDefault="000472B8" w:rsidP="000472B8">
            <w:pPr>
              <w:ind w:firstLine="0"/>
              <w:jc w:val="both"/>
              <w:rPr>
                <w:rFonts w:cs="Times New Roman"/>
                <w:szCs w:val="24"/>
              </w:rPr>
            </w:pPr>
            <w:r w:rsidRPr="00521357">
              <w:rPr>
                <w:rFonts w:cs="Times New Roman"/>
                <w:szCs w:val="24"/>
              </w:rPr>
              <w:t>13,2</w:t>
            </w:r>
          </w:p>
        </w:tc>
        <w:tc>
          <w:tcPr>
            <w:tcW w:w="993" w:type="dxa"/>
            <w:noWrap/>
            <w:hideMark/>
          </w:tcPr>
          <w:p w14:paraId="7A1DCA98" w14:textId="77777777" w:rsidR="000472B8" w:rsidRPr="00521357" w:rsidRDefault="000472B8" w:rsidP="000472B8">
            <w:pPr>
              <w:ind w:firstLine="0"/>
              <w:jc w:val="both"/>
              <w:rPr>
                <w:rFonts w:cs="Times New Roman"/>
                <w:szCs w:val="24"/>
              </w:rPr>
            </w:pPr>
            <w:r w:rsidRPr="00521357">
              <w:rPr>
                <w:rFonts w:cs="Times New Roman"/>
                <w:szCs w:val="24"/>
              </w:rPr>
              <w:t>13,2</w:t>
            </w:r>
          </w:p>
        </w:tc>
        <w:tc>
          <w:tcPr>
            <w:tcW w:w="1020" w:type="dxa"/>
            <w:vAlign w:val="bottom"/>
          </w:tcPr>
          <w:p w14:paraId="3970E10C" w14:textId="35BEDF01" w:rsidR="000472B8" w:rsidRPr="00521357" w:rsidRDefault="000472B8" w:rsidP="000472B8">
            <w:pPr>
              <w:ind w:firstLine="0"/>
              <w:jc w:val="both"/>
              <w:rPr>
                <w:rFonts w:cs="Times New Roman"/>
                <w:szCs w:val="24"/>
              </w:rPr>
            </w:pPr>
            <w:r w:rsidRPr="00521357">
              <w:rPr>
                <w:rFonts w:cs="Times New Roman"/>
                <w:color w:val="000000"/>
                <w:szCs w:val="24"/>
              </w:rPr>
              <w:t>12,7</w:t>
            </w:r>
          </w:p>
        </w:tc>
      </w:tr>
      <w:tr w:rsidR="000472B8" w:rsidRPr="00521357" w14:paraId="48A94CE6" w14:textId="3A7664FF" w:rsidTr="00521357">
        <w:trPr>
          <w:trHeight w:val="288"/>
        </w:trPr>
        <w:tc>
          <w:tcPr>
            <w:tcW w:w="1843" w:type="dxa"/>
            <w:noWrap/>
            <w:hideMark/>
          </w:tcPr>
          <w:p w14:paraId="58EA4B7C" w14:textId="77777777" w:rsidR="000472B8" w:rsidRPr="00521357" w:rsidRDefault="000472B8" w:rsidP="000472B8">
            <w:pPr>
              <w:ind w:firstLine="0"/>
              <w:jc w:val="both"/>
              <w:rPr>
                <w:rFonts w:cs="Times New Roman"/>
                <w:szCs w:val="24"/>
              </w:rPr>
            </w:pPr>
            <w:r w:rsidRPr="00521357">
              <w:rPr>
                <w:rFonts w:cs="Times New Roman"/>
                <w:szCs w:val="24"/>
              </w:rPr>
              <w:t xml:space="preserve">Mažeikiai </w:t>
            </w:r>
          </w:p>
        </w:tc>
        <w:tc>
          <w:tcPr>
            <w:tcW w:w="987" w:type="dxa"/>
            <w:noWrap/>
            <w:hideMark/>
          </w:tcPr>
          <w:p w14:paraId="2F5EBA40" w14:textId="77777777" w:rsidR="000472B8" w:rsidRPr="00521357" w:rsidRDefault="000472B8" w:rsidP="000472B8">
            <w:pPr>
              <w:ind w:firstLine="0"/>
              <w:jc w:val="both"/>
              <w:rPr>
                <w:rFonts w:cs="Times New Roman"/>
                <w:szCs w:val="24"/>
              </w:rPr>
            </w:pPr>
            <w:r w:rsidRPr="00521357">
              <w:rPr>
                <w:rFonts w:cs="Times New Roman"/>
                <w:szCs w:val="24"/>
              </w:rPr>
              <w:t>14,8</w:t>
            </w:r>
          </w:p>
        </w:tc>
        <w:tc>
          <w:tcPr>
            <w:tcW w:w="1543" w:type="dxa"/>
            <w:noWrap/>
            <w:hideMark/>
          </w:tcPr>
          <w:p w14:paraId="601BF9CC" w14:textId="77777777" w:rsidR="000472B8" w:rsidRPr="00521357" w:rsidRDefault="000472B8" w:rsidP="000472B8">
            <w:pPr>
              <w:ind w:firstLine="0"/>
              <w:jc w:val="both"/>
              <w:rPr>
                <w:rFonts w:cs="Times New Roman"/>
                <w:szCs w:val="24"/>
              </w:rPr>
            </w:pPr>
            <w:r w:rsidRPr="00521357">
              <w:rPr>
                <w:rFonts w:cs="Times New Roman"/>
                <w:szCs w:val="24"/>
              </w:rPr>
              <w:t>14,9</w:t>
            </w:r>
          </w:p>
        </w:tc>
        <w:tc>
          <w:tcPr>
            <w:tcW w:w="1119" w:type="dxa"/>
            <w:noWrap/>
            <w:hideMark/>
          </w:tcPr>
          <w:p w14:paraId="2C4AEB11" w14:textId="77777777" w:rsidR="000472B8" w:rsidRPr="00521357" w:rsidRDefault="000472B8" w:rsidP="000472B8">
            <w:pPr>
              <w:ind w:firstLine="0"/>
              <w:jc w:val="both"/>
              <w:rPr>
                <w:rFonts w:cs="Times New Roman"/>
                <w:szCs w:val="24"/>
              </w:rPr>
            </w:pPr>
            <w:r w:rsidRPr="00521357">
              <w:rPr>
                <w:rFonts w:cs="Times New Roman"/>
                <w:szCs w:val="24"/>
              </w:rPr>
              <w:t>14,9</w:t>
            </w:r>
          </w:p>
        </w:tc>
        <w:tc>
          <w:tcPr>
            <w:tcW w:w="1131" w:type="dxa"/>
            <w:noWrap/>
            <w:hideMark/>
          </w:tcPr>
          <w:p w14:paraId="5128AA7D" w14:textId="77777777" w:rsidR="000472B8" w:rsidRPr="00521357" w:rsidRDefault="000472B8" w:rsidP="000472B8">
            <w:pPr>
              <w:ind w:firstLine="0"/>
              <w:jc w:val="both"/>
              <w:rPr>
                <w:rFonts w:cs="Times New Roman"/>
                <w:szCs w:val="24"/>
              </w:rPr>
            </w:pPr>
            <w:r w:rsidRPr="00521357">
              <w:rPr>
                <w:rFonts w:cs="Times New Roman"/>
                <w:szCs w:val="24"/>
              </w:rPr>
              <w:t>14,7</w:t>
            </w:r>
          </w:p>
        </w:tc>
        <w:tc>
          <w:tcPr>
            <w:tcW w:w="992" w:type="dxa"/>
            <w:noWrap/>
            <w:hideMark/>
          </w:tcPr>
          <w:p w14:paraId="202169E9" w14:textId="77777777" w:rsidR="000472B8" w:rsidRPr="00521357" w:rsidRDefault="000472B8" w:rsidP="000472B8">
            <w:pPr>
              <w:ind w:firstLine="0"/>
              <w:jc w:val="both"/>
              <w:rPr>
                <w:rFonts w:cs="Times New Roman"/>
                <w:szCs w:val="24"/>
              </w:rPr>
            </w:pPr>
            <w:r w:rsidRPr="00521357">
              <w:rPr>
                <w:rFonts w:cs="Times New Roman"/>
                <w:szCs w:val="24"/>
              </w:rPr>
              <w:t>12,6</w:t>
            </w:r>
          </w:p>
        </w:tc>
        <w:tc>
          <w:tcPr>
            <w:tcW w:w="993" w:type="dxa"/>
            <w:noWrap/>
            <w:hideMark/>
          </w:tcPr>
          <w:p w14:paraId="3CE8C3B8" w14:textId="77777777" w:rsidR="000472B8" w:rsidRPr="00521357" w:rsidRDefault="000472B8" w:rsidP="000472B8">
            <w:pPr>
              <w:ind w:firstLine="0"/>
              <w:jc w:val="both"/>
              <w:rPr>
                <w:rFonts w:cs="Times New Roman"/>
                <w:szCs w:val="24"/>
              </w:rPr>
            </w:pPr>
            <w:r w:rsidRPr="00521357">
              <w:rPr>
                <w:rFonts w:cs="Times New Roman"/>
                <w:szCs w:val="24"/>
              </w:rPr>
              <w:t>10,1</w:t>
            </w:r>
          </w:p>
        </w:tc>
        <w:tc>
          <w:tcPr>
            <w:tcW w:w="1020" w:type="dxa"/>
            <w:vAlign w:val="bottom"/>
          </w:tcPr>
          <w:p w14:paraId="6B0D6A18" w14:textId="767DF5F0" w:rsidR="000472B8" w:rsidRPr="00521357" w:rsidRDefault="000472B8" w:rsidP="000472B8">
            <w:pPr>
              <w:ind w:firstLine="0"/>
              <w:jc w:val="both"/>
              <w:rPr>
                <w:rFonts w:cs="Times New Roman"/>
                <w:szCs w:val="24"/>
              </w:rPr>
            </w:pPr>
            <w:r w:rsidRPr="00521357">
              <w:rPr>
                <w:rFonts w:cs="Times New Roman"/>
                <w:color w:val="000000"/>
                <w:szCs w:val="24"/>
              </w:rPr>
              <w:t>8,1</w:t>
            </w:r>
          </w:p>
        </w:tc>
      </w:tr>
      <w:tr w:rsidR="000472B8" w:rsidRPr="00521357" w14:paraId="4D59D082" w14:textId="7CAC044A" w:rsidTr="00521357">
        <w:trPr>
          <w:trHeight w:val="288"/>
        </w:trPr>
        <w:tc>
          <w:tcPr>
            <w:tcW w:w="1843" w:type="dxa"/>
            <w:noWrap/>
            <w:hideMark/>
          </w:tcPr>
          <w:p w14:paraId="21F7F257" w14:textId="77777777" w:rsidR="000472B8" w:rsidRPr="00521357" w:rsidRDefault="000472B8" w:rsidP="000472B8">
            <w:pPr>
              <w:ind w:firstLine="0"/>
              <w:jc w:val="both"/>
              <w:rPr>
                <w:rFonts w:cs="Times New Roman"/>
                <w:szCs w:val="24"/>
              </w:rPr>
            </w:pPr>
            <w:r w:rsidRPr="00521357">
              <w:rPr>
                <w:rFonts w:cs="Times New Roman"/>
                <w:szCs w:val="24"/>
              </w:rPr>
              <w:t xml:space="preserve">Naujoji Akmenė </w:t>
            </w:r>
          </w:p>
        </w:tc>
        <w:tc>
          <w:tcPr>
            <w:tcW w:w="987" w:type="dxa"/>
            <w:noWrap/>
            <w:hideMark/>
          </w:tcPr>
          <w:p w14:paraId="4018C4D4" w14:textId="77777777" w:rsidR="000472B8" w:rsidRPr="00521357" w:rsidRDefault="000472B8" w:rsidP="000472B8">
            <w:pPr>
              <w:ind w:firstLine="0"/>
              <w:jc w:val="both"/>
              <w:rPr>
                <w:rFonts w:cs="Times New Roman"/>
                <w:szCs w:val="24"/>
              </w:rPr>
            </w:pPr>
            <w:r w:rsidRPr="00521357">
              <w:rPr>
                <w:rFonts w:cs="Times New Roman"/>
                <w:szCs w:val="24"/>
              </w:rPr>
              <w:t>12,6</w:t>
            </w:r>
          </w:p>
        </w:tc>
        <w:tc>
          <w:tcPr>
            <w:tcW w:w="1543" w:type="dxa"/>
            <w:noWrap/>
            <w:hideMark/>
          </w:tcPr>
          <w:p w14:paraId="1143CEF6" w14:textId="77777777" w:rsidR="000472B8" w:rsidRPr="00521357" w:rsidRDefault="000472B8" w:rsidP="000472B8">
            <w:pPr>
              <w:ind w:firstLine="0"/>
              <w:jc w:val="both"/>
              <w:rPr>
                <w:rFonts w:cs="Times New Roman"/>
                <w:szCs w:val="24"/>
              </w:rPr>
            </w:pPr>
            <w:r w:rsidRPr="00521357">
              <w:rPr>
                <w:rFonts w:cs="Times New Roman"/>
                <w:szCs w:val="24"/>
              </w:rPr>
              <w:t>11,1</w:t>
            </w:r>
          </w:p>
        </w:tc>
        <w:tc>
          <w:tcPr>
            <w:tcW w:w="1119" w:type="dxa"/>
            <w:noWrap/>
            <w:hideMark/>
          </w:tcPr>
          <w:p w14:paraId="716773F4" w14:textId="77777777" w:rsidR="000472B8" w:rsidRPr="00521357" w:rsidRDefault="000472B8" w:rsidP="000472B8">
            <w:pPr>
              <w:ind w:firstLine="0"/>
              <w:jc w:val="both"/>
              <w:rPr>
                <w:rFonts w:cs="Times New Roman"/>
                <w:szCs w:val="24"/>
              </w:rPr>
            </w:pPr>
            <w:r w:rsidRPr="00521357">
              <w:rPr>
                <w:rFonts w:cs="Times New Roman"/>
                <w:szCs w:val="24"/>
              </w:rPr>
              <w:t>10,1</w:t>
            </w:r>
          </w:p>
        </w:tc>
        <w:tc>
          <w:tcPr>
            <w:tcW w:w="1131" w:type="dxa"/>
            <w:noWrap/>
            <w:hideMark/>
          </w:tcPr>
          <w:p w14:paraId="28D84783" w14:textId="77777777" w:rsidR="000472B8" w:rsidRPr="00521357" w:rsidRDefault="000472B8" w:rsidP="000472B8">
            <w:pPr>
              <w:ind w:firstLine="0"/>
              <w:jc w:val="both"/>
              <w:rPr>
                <w:rFonts w:cs="Times New Roman"/>
                <w:szCs w:val="24"/>
              </w:rPr>
            </w:pPr>
            <w:r w:rsidRPr="00521357">
              <w:rPr>
                <w:rFonts w:cs="Times New Roman"/>
                <w:szCs w:val="24"/>
              </w:rPr>
              <w:t>9,4</w:t>
            </w:r>
          </w:p>
        </w:tc>
        <w:tc>
          <w:tcPr>
            <w:tcW w:w="992" w:type="dxa"/>
            <w:noWrap/>
            <w:hideMark/>
          </w:tcPr>
          <w:p w14:paraId="0C3C2769" w14:textId="77777777" w:rsidR="000472B8" w:rsidRPr="00521357" w:rsidRDefault="000472B8" w:rsidP="000472B8">
            <w:pPr>
              <w:ind w:firstLine="0"/>
              <w:jc w:val="both"/>
              <w:rPr>
                <w:rFonts w:cs="Times New Roman"/>
                <w:szCs w:val="24"/>
              </w:rPr>
            </w:pPr>
            <w:r w:rsidRPr="00521357">
              <w:rPr>
                <w:rFonts w:cs="Times New Roman"/>
                <w:szCs w:val="24"/>
              </w:rPr>
              <w:t>7,9</w:t>
            </w:r>
          </w:p>
        </w:tc>
        <w:tc>
          <w:tcPr>
            <w:tcW w:w="993" w:type="dxa"/>
            <w:noWrap/>
            <w:hideMark/>
          </w:tcPr>
          <w:p w14:paraId="7AC0B12C" w14:textId="77777777" w:rsidR="000472B8" w:rsidRPr="00521357" w:rsidRDefault="000472B8" w:rsidP="000472B8">
            <w:pPr>
              <w:ind w:firstLine="0"/>
              <w:jc w:val="both"/>
              <w:rPr>
                <w:rFonts w:cs="Times New Roman"/>
                <w:szCs w:val="24"/>
              </w:rPr>
            </w:pPr>
            <w:r w:rsidRPr="00521357">
              <w:rPr>
                <w:rFonts w:cs="Times New Roman"/>
                <w:szCs w:val="24"/>
              </w:rPr>
              <w:t>6,7</w:t>
            </w:r>
          </w:p>
        </w:tc>
        <w:tc>
          <w:tcPr>
            <w:tcW w:w="1020" w:type="dxa"/>
            <w:vAlign w:val="bottom"/>
          </w:tcPr>
          <w:p w14:paraId="6E2D8889" w14:textId="5950EA74" w:rsidR="000472B8" w:rsidRPr="00521357" w:rsidRDefault="000472B8" w:rsidP="000472B8">
            <w:pPr>
              <w:ind w:firstLine="0"/>
              <w:jc w:val="both"/>
              <w:rPr>
                <w:rFonts w:cs="Times New Roman"/>
                <w:szCs w:val="24"/>
              </w:rPr>
            </w:pPr>
            <w:r w:rsidRPr="00521357">
              <w:rPr>
                <w:rFonts w:cs="Times New Roman"/>
                <w:color w:val="000000"/>
                <w:szCs w:val="24"/>
              </w:rPr>
              <w:t>6,3</w:t>
            </w:r>
          </w:p>
        </w:tc>
      </w:tr>
      <w:tr w:rsidR="000472B8" w:rsidRPr="00521357" w14:paraId="78300B92" w14:textId="63DBE122" w:rsidTr="00521357">
        <w:trPr>
          <w:trHeight w:val="288"/>
        </w:trPr>
        <w:tc>
          <w:tcPr>
            <w:tcW w:w="1843" w:type="dxa"/>
            <w:noWrap/>
            <w:hideMark/>
          </w:tcPr>
          <w:p w14:paraId="09A0D7E2" w14:textId="77777777" w:rsidR="000472B8" w:rsidRPr="00521357" w:rsidRDefault="000472B8" w:rsidP="000472B8">
            <w:pPr>
              <w:ind w:firstLine="0"/>
              <w:jc w:val="both"/>
              <w:rPr>
                <w:rFonts w:cs="Times New Roman"/>
                <w:szCs w:val="24"/>
              </w:rPr>
            </w:pPr>
            <w:r w:rsidRPr="00521357">
              <w:rPr>
                <w:rFonts w:cs="Times New Roman"/>
                <w:szCs w:val="24"/>
              </w:rPr>
              <w:t xml:space="preserve">Jonava </w:t>
            </w:r>
          </w:p>
        </w:tc>
        <w:tc>
          <w:tcPr>
            <w:tcW w:w="987" w:type="dxa"/>
            <w:noWrap/>
            <w:hideMark/>
          </w:tcPr>
          <w:p w14:paraId="7A86A59B" w14:textId="77777777" w:rsidR="000472B8" w:rsidRPr="00521357" w:rsidRDefault="000472B8" w:rsidP="000472B8">
            <w:pPr>
              <w:ind w:firstLine="0"/>
              <w:jc w:val="both"/>
              <w:rPr>
                <w:rFonts w:cs="Times New Roman"/>
                <w:szCs w:val="24"/>
              </w:rPr>
            </w:pPr>
            <w:r w:rsidRPr="00521357">
              <w:rPr>
                <w:rFonts w:cs="Times New Roman"/>
                <w:szCs w:val="24"/>
              </w:rPr>
              <w:t>8,7</w:t>
            </w:r>
          </w:p>
        </w:tc>
        <w:tc>
          <w:tcPr>
            <w:tcW w:w="1543" w:type="dxa"/>
            <w:noWrap/>
            <w:hideMark/>
          </w:tcPr>
          <w:p w14:paraId="1A8C2778" w14:textId="77777777" w:rsidR="000472B8" w:rsidRPr="00521357" w:rsidRDefault="000472B8" w:rsidP="000472B8">
            <w:pPr>
              <w:ind w:firstLine="0"/>
              <w:jc w:val="both"/>
              <w:rPr>
                <w:rFonts w:cs="Times New Roman"/>
                <w:szCs w:val="24"/>
              </w:rPr>
            </w:pPr>
            <w:r w:rsidRPr="00521357">
              <w:rPr>
                <w:rFonts w:cs="Times New Roman"/>
                <w:szCs w:val="24"/>
              </w:rPr>
              <w:t>7,4</w:t>
            </w:r>
          </w:p>
        </w:tc>
        <w:tc>
          <w:tcPr>
            <w:tcW w:w="1119" w:type="dxa"/>
            <w:noWrap/>
            <w:hideMark/>
          </w:tcPr>
          <w:p w14:paraId="0DD2D953" w14:textId="77777777" w:rsidR="000472B8" w:rsidRPr="00521357" w:rsidRDefault="000472B8" w:rsidP="000472B8">
            <w:pPr>
              <w:ind w:firstLine="0"/>
              <w:jc w:val="both"/>
              <w:rPr>
                <w:rFonts w:cs="Times New Roman"/>
                <w:szCs w:val="24"/>
              </w:rPr>
            </w:pPr>
            <w:r w:rsidRPr="00521357">
              <w:rPr>
                <w:rFonts w:cs="Times New Roman"/>
                <w:szCs w:val="24"/>
              </w:rPr>
              <w:t>9</w:t>
            </w:r>
          </w:p>
        </w:tc>
        <w:tc>
          <w:tcPr>
            <w:tcW w:w="1131" w:type="dxa"/>
            <w:noWrap/>
            <w:hideMark/>
          </w:tcPr>
          <w:p w14:paraId="6CE7F780" w14:textId="77777777" w:rsidR="000472B8" w:rsidRPr="00521357" w:rsidRDefault="000472B8" w:rsidP="000472B8">
            <w:pPr>
              <w:ind w:firstLine="0"/>
              <w:jc w:val="both"/>
              <w:rPr>
                <w:rFonts w:cs="Times New Roman"/>
                <w:szCs w:val="24"/>
              </w:rPr>
            </w:pPr>
            <w:r w:rsidRPr="00521357">
              <w:rPr>
                <w:rFonts w:cs="Times New Roman"/>
                <w:szCs w:val="24"/>
              </w:rPr>
              <w:t>10,8</w:t>
            </w:r>
          </w:p>
        </w:tc>
        <w:tc>
          <w:tcPr>
            <w:tcW w:w="992" w:type="dxa"/>
            <w:noWrap/>
            <w:hideMark/>
          </w:tcPr>
          <w:p w14:paraId="1A0EEC1A" w14:textId="77777777" w:rsidR="000472B8" w:rsidRPr="00521357" w:rsidRDefault="000472B8" w:rsidP="000472B8">
            <w:pPr>
              <w:ind w:firstLine="0"/>
              <w:jc w:val="both"/>
              <w:rPr>
                <w:rFonts w:cs="Times New Roman"/>
                <w:szCs w:val="24"/>
              </w:rPr>
            </w:pPr>
            <w:r w:rsidRPr="00521357">
              <w:rPr>
                <w:rFonts w:cs="Times New Roman"/>
                <w:szCs w:val="24"/>
              </w:rPr>
              <w:t>11,6</w:t>
            </w:r>
          </w:p>
        </w:tc>
        <w:tc>
          <w:tcPr>
            <w:tcW w:w="993" w:type="dxa"/>
            <w:noWrap/>
            <w:hideMark/>
          </w:tcPr>
          <w:p w14:paraId="49846C00" w14:textId="77777777" w:rsidR="000472B8" w:rsidRPr="00521357" w:rsidRDefault="000472B8" w:rsidP="000472B8">
            <w:pPr>
              <w:ind w:firstLine="0"/>
              <w:jc w:val="both"/>
              <w:rPr>
                <w:rFonts w:cs="Times New Roman"/>
                <w:szCs w:val="24"/>
              </w:rPr>
            </w:pPr>
            <w:r w:rsidRPr="00521357">
              <w:rPr>
                <w:rFonts w:cs="Times New Roman"/>
                <w:szCs w:val="24"/>
              </w:rPr>
              <w:t>9,6</w:t>
            </w:r>
          </w:p>
        </w:tc>
        <w:tc>
          <w:tcPr>
            <w:tcW w:w="1020" w:type="dxa"/>
            <w:vAlign w:val="bottom"/>
          </w:tcPr>
          <w:p w14:paraId="0558CED0" w14:textId="103F3E22" w:rsidR="000472B8" w:rsidRPr="00521357" w:rsidRDefault="000472B8" w:rsidP="000472B8">
            <w:pPr>
              <w:ind w:firstLine="0"/>
              <w:jc w:val="both"/>
              <w:rPr>
                <w:rFonts w:cs="Times New Roman"/>
                <w:szCs w:val="24"/>
              </w:rPr>
            </w:pPr>
            <w:r w:rsidRPr="00521357">
              <w:rPr>
                <w:rFonts w:cs="Times New Roman"/>
                <w:color w:val="000000"/>
                <w:szCs w:val="24"/>
              </w:rPr>
              <w:t>8,3</w:t>
            </w:r>
          </w:p>
        </w:tc>
      </w:tr>
      <w:tr w:rsidR="000472B8" w:rsidRPr="00521357" w14:paraId="28D2AE7E" w14:textId="3B02C5E6" w:rsidTr="00521357">
        <w:trPr>
          <w:trHeight w:val="288"/>
        </w:trPr>
        <w:tc>
          <w:tcPr>
            <w:tcW w:w="1843" w:type="dxa"/>
            <w:noWrap/>
            <w:hideMark/>
          </w:tcPr>
          <w:p w14:paraId="6638DC7E" w14:textId="77777777" w:rsidR="000472B8" w:rsidRPr="00521357" w:rsidRDefault="000472B8" w:rsidP="000472B8">
            <w:pPr>
              <w:ind w:firstLine="0"/>
              <w:jc w:val="both"/>
              <w:rPr>
                <w:rFonts w:cs="Times New Roman"/>
                <w:szCs w:val="24"/>
              </w:rPr>
            </w:pPr>
            <w:r w:rsidRPr="00521357">
              <w:rPr>
                <w:rFonts w:cs="Times New Roman"/>
                <w:szCs w:val="24"/>
              </w:rPr>
              <w:t xml:space="preserve">Kėdainiai </w:t>
            </w:r>
          </w:p>
        </w:tc>
        <w:tc>
          <w:tcPr>
            <w:tcW w:w="987" w:type="dxa"/>
            <w:noWrap/>
            <w:hideMark/>
          </w:tcPr>
          <w:p w14:paraId="2E6FC2BD" w14:textId="77777777" w:rsidR="000472B8" w:rsidRPr="00521357" w:rsidRDefault="000472B8" w:rsidP="000472B8">
            <w:pPr>
              <w:ind w:firstLine="0"/>
              <w:jc w:val="both"/>
              <w:rPr>
                <w:rFonts w:cs="Times New Roman"/>
                <w:szCs w:val="24"/>
              </w:rPr>
            </w:pPr>
            <w:r w:rsidRPr="00521357">
              <w:rPr>
                <w:rFonts w:cs="Times New Roman"/>
                <w:szCs w:val="24"/>
              </w:rPr>
              <w:t>11,7</w:t>
            </w:r>
          </w:p>
        </w:tc>
        <w:tc>
          <w:tcPr>
            <w:tcW w:w="1543" w:type="dxa"/>
            <w:noWrap/>
            <w:hideMark/>
          </w:tcPr>
          <w:p w14:paraId="108E94E5" w14:textId="77777777" w:rsidR="000472B8" w:rsidRPr="00521357" w:rsidRDefault="000472B8" w:rsidP="000472B8">
            <w:pPr>
              <w:ind w:firstLine="0"/>
              <w:jc w:val="both"/>
              <w:rPr>
                <w:rFonts w:cs="Times New Roman"/>
                <w:szCs w:val="24"/>
              </w:rPr>
            </w:pPr>
            <w:r w:rsidRPr="00521357">
              <w:rPr>
                <w:rFonts w:cs="Times New Roman"/>
                <w:szCs w:val="24"/>
              </w:rPr>
              <w:t>12,1</w:t>
            </w:r>
          </w:p>
        </w:tc>
        <w:tc>
          <w:tcPr>
            <w:tcW w:w="1119" w:type="dxa"/>
            <w:noWrap/>
            <w:hideMark/>
          </w:tcPr>
          <w:p w14:paraId="48F2CC90" w14:textId="77777777" w:rsidR="000472B8" w:rsidRPr="00521357" w:rsidRDefault="000472B8" w:rsidP="000472B8">
            <w:pPr>
              <w:ind w:firstLine="0"/>
              <w:jc w:val="both"/>
              <w:rPr>
                <w:rFonts w:cs="Times New Roman"/>
                <w:szCs w:val="24"/>
              </w:rPr>
            </w:pPr>
            <w:r w:rsidRPr="00521357">
              <w:rPr>
                <w:rFonts w:cs="Times New Roman"/>
                <w:szCs w:val="24"/>
              </w:rPr>
              <w:t>13</w:t>
            </w:r>
          </w:p>
        </w:tc>
        <w:tc>
          <w:tcPr>
            <w:tcW w:w="1131" w:type="dxa"/>
            <w:noWrap/>
            <w:hideMark/>
          </w:tcPr>
          <w:p w14:paraId="259E9312" w14:textId="77777777" w:rsidR="000472B8" w:rsidRPr="00521357" w:rsidRDefault="000472B8" w:rsidP="000472B8">
            <w:pPr>
              <w:ind w:firstLine="0"/>
              <w:jc w:val="both"/>
              <w:rPr>
                <w:rFonts w:cs="Times New Roman"/>
                <w:szCs w:val="24"/>
              </w:rPr>
            </w:pPr>
            <w:r w:rsidRPr="00521357">
              <w:rPr>
                <w:rFonts w:cs="Times New Roman"/>
                <w:szCs w:val="24"/>
              </w:rPr>
              <w:t>14</w:t>
            </w:r>
          </w:p>
        </w:tc>
        <w:tc>
          <w:tcPr>
            <w:tcW w:w="992" w:type="dxa"/>
            <w:noWrap/>
            <w:hideMark/>
          </w:tcPr>
          <w:p w14:paraId="4F7CDC73" w14:textId="77777777" w:rsidR="000472B8" w:rsidRPr="00521357" w:rsidRDefault="000472B8" w:rsidP="000472B8">
            <w:pPr>
              <w:ind w:firstLine="0"/>
              <w:jc w:val="both"/>
              <w:rPr>
                <w:rFonts w:cs="Times New Roman"/>
                <w:szCs w:val="24"/>
              </w:rPr>
            </w:pPr>
            <w:r w:rsidRPr="00521357">
              <w:rPr>
                <w:rFonts w:cs="Times New Roman"/>
                <w:szCs w:val="24"/>
              </w:rPr>
              <w:t>13,4</w:t>
            </w:r>
          </w:p>
        </w:tc>
        <w:tc>
          <w:tcPr>
            <w:tcW w:w="993" w:type="dxa"/>
            <w:noWrap/>
            <w:hideMark/>
          </w:tcPr>
          <w:p w14:paraId="0422097D" w14:textId="77777777" w:rsidR="000472B8" w:rsidRPr="00521357" w:rsidRDefault="000472B8" w:rsidP="000472B8">
            <w:pPr>
              <w:ind w:firstLine="0"/>
              <w:jc w:val="both"/>
              <w:rPr>
                <w:rFonts w:cs="Times New Roman"/>
                <w:szCs w:val="24"/>
              </w:rPr>
            </w:pPr>
            <w:r w:rsidRPr="00521357">
              <w:rPr>
                <w:rFonts w:cs="Times New Roman"/>
                <w:szCs w:val="24"/>
              </w:rPr>
              <w:t>11,6</w:t>
            </w:r>
          </w:p>
        </w:tc>
        <w:tc>
          <w:tcPr>
            <w:tcW w:w="1020" w:type="dxa"/>
            <w:vAlign w:val="bottom"/>
          </w:tcPr>
          <w:p w14:paraId="746ED534" w14:textId="653F5798" w:rsidR="000472B8" w:rsidRPr="00521357" w:rsidRDefault="000472B8" w:rsidP="000472B8">
            <w:pPr>
              <w:ind w:firstLine="0"/>
              <w:jc w:val="both"/>
              <w:rPr>
                <w:rFonts w:cs="Times New Roman"/>
                <w:szCs w:val="24"/>
              </w:rPr>
            </w:pPr>
            <w:r w:rsidRPr="00521357">
              <w:rPr>
                <w:rFonts w:cs="Times New Roman"/>
                <w:color w:val="000000"/>
                <w:szCs w:val="24"/>
              </w:rPr>
              <w:t>9,2</w:t>
            </w:r>
          </w:p>
        </w:tc>
      </w:tr>
    </w:tbl>
    <w:p w14:paraId="4C3074AF" w14:textId="5D2D3876" w:rsidR="002E5A39" w:rsidRPr="00521357" w:rsidRDefault="002E5A39" w:rsidP="002E5A39">
      <w:pPr>
        <w:ind w:firstLine="567"/>
        <w:jc w:val="both"/>
        <w:rPr>
          <w:rFonts w:cs="Times New Roman"/>
          <w:b/>
          <w:bCs/>
          <w:szCs w:val="24"/>
        </w:rPr>
      </w:pPr>
      <w:r w:rsidRPr="00521357">
        <w:rPr>
          <w:rFonts w:cs="Times New Roman"/>
          <w:b/>
          <w:i/>
          <w:color w:val="000000" w:themeColor="text1"/>
          <w:szCs w:val="24"/>
        </w:rPr>
        <w:t xml:space="preserve"> </w:t>
      </w:r>
      <w:r w:rsidR="00682EBE" w:rsidRPr="00521357">
        <w:rPr>
          <w:rFonts w:cs="Times New Roman"/>
          <w:b/>
          <w:i/>
          <w:color w:val="000000" w:themeColor="text1"/>
          <w:szCs w:val="24"/>
        </w:rPr>
        <w:fldChar w:fldCharType="begin"/>
      </w:r>
      <w:r w:rsidR="00682EBE" w:rsidRPr="00521357">
        <w:rPr>
          <w:rFonts w:cs="Times New Roman"/>
          <w:b/>
          <w:color w:val="000000" w:themeColor="text1"/>
          <w:szCs w:val="24"/>
        </w:rPr>
        <w:instrText xml:space="preserve"> SEQ lentelė \* ARABIC </w:instrText>
      </w:r>
      <w:r w:rsidR="00682EBE" w:rsidRPr="00521357">
        <w:rPr>
          <w:rFonts w:cs="Times New Roman"/>
          <w:b/>
          <w:i/>
          <w:color w:val="000000" w:themeColor="text1"/>
          <w:szCs w:val="24"/>
        </w:rPr>
        <w:fldChar w:fldCharType="separate"/>
      </w:r>
      <w:r w:rsidR="00682EBE" w:rsidRPr="00521357">
        <w:rPr>
          <w:rFonts w:cs="Times New Roman"/>
          <w:b/>
          <w:noProof/>
          <w:color w:val="000000" w:themeColor="text1"/>
          <w:szCs w:val="24"/>
        </w:rPr>
        <w:t>1</w:t>
      </w:r>
      <w:r w:rsidR="00682EBE" w:rsidRPr="00521357">
        <w:rPr>
          <w:rFonts w:cs="Times New Roman"/>
          <w:b/>
          <w:i/>
          <w:color w:val="000000" w:themeColor="text1"/>
          <w:szCs w:val="24"/>
        </w:rPr>
        <w:fldChar w:fldCharType="end"/>
      </w:r>
      <w:r w:rsidR="00682EBE" w:rsidRPr="00521357">
        <w:rPr>
          <w:rFonts w:cs="Times New Roman"/>
          <w:b/>
          <w:color w:val="000000" w:themeColor="text1"/>
          <w:szCs w:val="24"/>
        </w:rPr>
        <w:t xml:space="preserve"> lentelė. Trijų metų periodo aplinkos oro užterštumo KD2,5 vidurkiai µg/m</w:t>
      </w:r>
      <w:r w:rsidR="00682EBE" w:rsidRPr="00521357">
        <w:rPr>
          <w:rFonts w:cs="Times New Roman"/>
          <w:b/>
          <w:color w:val="000000" w:themeColor="text1"/>
          <w:szCs w:val="24"/>
          <w:vertAlign w:val="superscript"/>
        </w:rPr>
        <w:t>3</w:t>
      </w:r>
      <w:r w:rsidR="00682EBE" w:rsidRPr="00521357">
        <w:rPr>
          <w:rFonts w:cs="Times New Roman"/>
          <w:b/>
          <w:color w:val="000000" w:themeColor="text1"/>
          <w:szCs w:val="24"/>
        </w:rPr>
        <w:t xml:space="preserve"> miestuose 2015</w:t>
      </w:r>
      <w:r w:rsidR="002E58F4">
        <w:rPr>
          <w:rFonts w:cs="Times New Roman"/>
          <w:b/>
          <w:color w:val="000000" w:themeColor="text1"/>
          <w:szCs w:val="24"/>
        </w:rPr>
        <w:t>–</w:t>
      </w:r>
      <w:r w:rsidR="00682EBE" w:rsidRPr="00521357">
        <w:rPr>
          <w:rFonts w:cs="Times New Roman"/>
          <w:b/>
          <w:color w:val="000000" w:themeColor="text1"/>
          <w:szCs w:val="24"/>
        </w:rPr>
        <w:t>202</w:t>
      </w:r>
      <w:r w:rsidR="000472B8" w:rsidRPr="00521357">
        <w:rPr>
          <w:rFonts w:cs="Times New Roman"/>
          <w:b/>
          <w:color w:val="000000" w:themeColor="text1"/>
          <w:szCs w:val="24"/>
        </w:rPr>
        <w:t>3</w:t>
      </w:r>
      <w:r w:rsidR="00682EBE" w:rsidRPr="00521357">
        <w:rPr>
          <w:rFonts w:cs="Times New Roman"/>
          <w:b/>
          <w:color w:val="000000" w:themeColor="text1"/>
          <w:szCs w:val="24"/>
        </w:rPr>
        <w:t xml:space="preserve"> laikotarpiu</w:t>
      </w:r>
      <w:r w:rsidRPr="00521357">
        <w:rPr>
          <w:rFonts w:cs="Times New Roman"/>
          <w:b/>
          <w:color w:val="000000" w:themeColor="text1"/>
          <w:szCs w:val="24"/>
        </w:rPr>
        <w:t xml:space="preserve">                                                                                                                                                      </w:t>
      </w:r>
      <w:r w:rsidRPr="00521357">
        <w:rPr>
          <w:rFonts w:cs="Times New Roman"/>
          <w:b/>
          <w:bCs/>
          <w:szCs w:val="24"/>
        </w:rPr>
        <w:t xml:space="preserve">                      </w:t>
      </w:r>
    </w:p>
    <w:p w14:paraId="6ACC7849" w14:textId="77777777" w:rsidR="002E5A39" w:rsidRPr="00521357" w:rsidRDefault="002E5A39" w:rsidP="002E5A39">
      <w:pPr>
        <w:ind w:firstLine="0"/>
        <w:jc w:val="both"/>
        <w:rPr>
          <w:rFonts w:cs="Times New Roman"/>
          <w:b/>
          <w:bCs/>
          <w:szCs w:val="24"/>
        </w:rPr>
      </w:pPr>
    </w:p>
    <w:p w14:paraId="577A7481" w14:textId="77777777" w:rsidR="002E5A39" w:rsidRPr="00521357" w:rsidRDefault="002E5A39" w:rsidP="002E5A39">
      <w:pPr>
        <w:ind w:firstLine="0"/>
        <w:jc w:val="both"/>
        <w:rPr>
          <w:rFonts w:cs="Times New Roman"/>
          <w:b/>
          <w:bCs/>
          <w:szCs w:val="24"/>
        </w:rPr>
      </w:pPr>
    </w:p>
    <w:p w14:paraId="3D2DD04A" w14:textId="4B690CC3" w:rsidR="002E5A39" w:rsidRPr="00521357" w:rsidRDefault="002E5A39" w:rsidP="002E5A39">
      <w:pPr>
        <w:ind w:firstLine="0"/>
        <w:jc w:val="both"/>
        <w:rPr>
          <w:rFonts w:cs="Times New Roman"/>
          <w:iCs/>
          <w:szCs w:val="24"/>
        </w:rPr>
      </w:pPr>
      <w:r w:rsidRPr="00521357">
        <w:rPr>
          <w:rFonts w:cs="Times New Roman"/>
          <w:szCs w:val="24"/>
        </w:rPr>
        <w:t>Analizuojant 1 paveikslo duomenis, matyti, kad iki 2021 m. taikyta</w:t>
      </w:r>
      <w:r w:rsidR="00527064" w:rsidRPr="00521357">
        <w:rPr>
          <w:rFonts w:cs="Times New Roman"/>
          <w:szCs w:val="24"/>
        </w:rPr>
        <w:t>s</w:t>
      </w:r>
      <w:r w:rsidRPr="00521357">
        <w:rPr>
          <w:rFonts w:cs="Times New Roman"/>
          <w:szCs w:val="24"/>
        </w:rPr>
        <w:t xml:space="preserve"> PSO KD2,5 ribin</w:t>
      </w:r>
      <w:r w:rsidR="00260104" w:rsidRPr="00521357">
        <w:rPr>
          <w:rFonts w:cs="Times New Roman"/>
          <w:szCs w:val="24"/>
        </w:rPr>
        <w:t>is</w:t>
      </w:r>
      <w:r w:rsidRPr="00521357">
        <w:rPr>
          <w:rFonts w:cs="Times New Roman"/>
          <w:szCs w:val="24"/>
        </w:rPr>
        <w:t xml:space="preserve"> </w:t>
      </w:r>
      <w:r w:rsidR="00260104" w:rsidRPr="00521357">
        <w:rPr>
          <w:rFonts w:cs="Times New Roman"/>
          <w:szCs w:val="24"/>
        </w:rPr>
        <w:t>dydis</w:t>
      </w:r>
      <w:r w:rsidRPr="00521357">
        <w:rPr>
          <w:rFonts w:cs="Times New Roman"/>
          <w:szCs w:val="24"/>
        </w:rPr>
        <w:t xml:space="preserve">, kai </w:t>
      </w:r>
      <w:r w:rsidRPr="00521357">
        <w:rPr>
          <w:rFonts w:cs="Times New Roman"/>
          <w:iCs/>
          <w:szCs w:val="24"/>
        </w:rPr>
        <w:t>C</w:t>
      </w:r>
      <w:r w:rsidRPr="00521357">
        <w:rPr>
          <w:rFonts w:cs="Times New Roman"/>
          <w:iCs/>
          <w:szCs w:val="24"/>
          <w:vertAlign w:val="subscript"/>
        </w:rPr>
        <w:t>0</w:t>
      </w:r>
      <w:r w:rsidRPr="00521357">
        <w:rPr>
          <w:rFonts w:cs="Times New Roman"/>
          <w:iCs/>
          <w:szCs w:val="24"/>
        </w:rPr>
        <w:t xml:space="preserve"> = 10 </w:t>
      </w:r>
      <w:proofErr w:type="spellStart"/>
      <w:r w:rsidRPr="00521357">
        <w:rPr>
          <w:rFonts w:cs="Times New Roman"/>
          <w:iCs/>
          <w:szCs w:val="24"/>
        </w:rPr>
        <w:t>μg</w:t>
      </w:r>
      <w:proofErr w:type="spellEnd"/>
      <w:r w:rsidRPr="00521357">
        <w:rPr>
          <w:rFonts w:cs="Times New Roman"/>
          <w:iCs/>
          <w:szCs w:val="24"/>
        </w:rPr>
        <w:t>/m</w:t>
      </w:r>
      <w:r w:rsidRPr="00521357">
        <w:rPr>
          <w:rFonts w:cs="Times New Roman"/>
          <w:iCs/>
          <w:szCs w:val="24"/>
          <w:vertAlign w:val="superscript"/>
        </w:rPr>
        <w:t>3</w:t>
      </w:r>
      <w:r w:rsidRPr="00521357">
        <w:rPr>
          <w:rFonts w:cs="Times New Roman"/>
          <w:iCs/>
          <w:szCs w:val="24"/>
        </w:rPr>
        <w:t>, 2020</w:t>
      </w:r>
      <w:r w:rsidR="002E58F4">
        <w:rPr>
          <w:rFonts w:cs="Times New Roman"/>
          <w:iCs/>
          <w:szCs w:val="24"/>
        </w:rPr>
        <w:t>–</w:t>
      </w:r>
      <w:r w:rsidRPr="00521357">
        <w:rPr>
          <w:rFonts w:cs="Times New Roman"/>
          <w:iCs/>
          <w:szCs w:val="24"/>
        </w:rPr>
        <w:t>2022 m. laikotarpiu buvo pasiekta</w:t>
      </w:r>
      <w:r w:rsidR="00260104" w:rsidRPr="00521357">
        <w:rPr>
          <w:rFonts w:cs="Times New Roman"/>
          <w:iCs/>
          <w:szCs w:val="24"/>
        </w:rPr>
        <w:t>s</w:t>
      </w:r>
      <w:r w:rsidRPr="00521357">
        <w:rPr>
          <w:rFonts w:cs="Times New Roman"/>
          <w:iCs/>
          <w:szCs w:val="24"/>
        </w:rPr>
        <w:t xml:space="preserve"> Naujoje Akmenėje ir Jonavoje</w:t>
      </w:r>
      <w:r w:rsidR="003050D9" w:rsidRPr="00521357">
        <w:rPr>
          <w:rFonts w:cs="Times New Roman"/>
          <w:iCs/>
          <w:szCs w:val="24"/>
        </w:rPr>
        <w:t>, o 2021</w:t>
      </w:r>
      <w:r w:rsidR="002E58F4">
        <w:rPr>
          <w:rFonts w:cs="Times New Roman"/>
          <w:iCs/>
          <w:szCs w:val="24"/>
        </w:rPr>
        <w:t>–</w:t>
      </w:r>
      <w:r w:rsidR="003050D9" w:rsidRPr="00521357">
        <w:rPr>
          <w:rFonts w:cs="Times New Roman"/>
          <w:iCs/>
          <w:szCs w:val="24"/>
        </w:rPr>
        <w:t>2023</w:t>
      </w:r>
      <w:r w:rsidR="002E66F9">
        <w:rPr>
          <w:rFonts w:cs="Times New Roman"/>
          <w:iCs/>
          <w:szCs w:val="24"/>
        </w:rPr>
        <w:t> </w:t>
      </w:r>
      <w:r w:rsidR="002E58F4">
        <w:rPr>
          <w:rFonts w:cs="Times New Roman"/>
          <w:iCs/>
          <w:szCs w:val="24"/>
        </w:rPr>
        <w:t>m.</w:t>
      </w:r>
      <w:r w:rsidR="003050D9" w:rsidRPr="00521357">
        <w:rPr>
          <w:rFonts w:cs="Times New Roman"/>
          <w:iCs/>
          <w:szCs w:val="24"/>
        </w:rPr>
        <w:t xml:space="preserve"> periodu – Kaune, Mažeikiuose, Naujoje Akmenėje, Jonavoje ir Kėdainiuose.</w:t>
      </w:r>
      <w:r w:rsidR="00521357">
        <w:rPr>
          <w:rFonts w:cs="Times New Roman"/>
          <w:iCs/>
          <w:szCs w:val="24"/>
        </w:rPr>
        <w:t xml:space="preserve"> </w:t>
      </w:r>
      <w:r w:rsidRPr="00521357">
        <w:rPr>
          <w:rFonts w:cs="Times New Roman"/>
          <w:iCs/>
          <w:szCs w:val="24"/>
        </w:rPr>
        <w:t xml:space="preserve">Deja, naujas PSO KD2,5 ribinis dydis, </w:t>
      </w:r>
      <w:r w:rsidRPr="00521357">
        <w:rPr>
          <w:rFonts w:cs="Times New Roman"/>
          <w:szCs w:val="24"/>
        </w:rPr>
        <w:t xml:space="preserve">kai </w:t>
      </w:r>
      <w:r w:rsidRPr="00521357">
        <w:rPr>
          <w:rFonts w:cs="Times New Roman"/>
          <w:iCs/>
          <w:szCs w:val="24"/>
        </w:rPr>
        <w:t>C</w:t>
      </w:r>
      <w:r w:rsidRPr="00521357">
        <w:rPr>
          <w:rFonts w:cs="Times New Roman"/>
          <w:iCs/>
          <w:szCs w:val="24"/>
          <w:vertAlign w:val="subscript"/>
        </w:rPr>
        <w:t>0</w:t>
      </w:r>
      <w:r w:rsidRPr="00521357">
        <w:rPr>
          <w:rFonts w:cs="Times New Roman"/>
          <w:iCs/>
          <w:szCs w:val="24"/>
        </w:rPr>
        <w:t xml:space="preserve"> = 5 μg/m</w:t>
      </w:r>
      <w:r w:rsidRPr="00521357">
        <w:rPr>
          <w:rFonts w:cs="Times New Roman"/>
          <w:iCs/>
          <w:szCs w:val="24"/>
          <w:vertAlign w:val="superscript"/>
        </w:rPr>
        <w:t>3</w:t>
      </w:r>
      <w:r w:rsidRPr="00521357">
        <w:rPr>
          <w:rFonts w:cs="Times New Roman"/>
          <w:iCs/>
          <w:szCs w:val="24"/>
        </w:rPr>
        <w:t>,  kol kas nepasiektas nei viename mieste, kuriame buvo vertinama oro tarša.</w:t>
      </w:r>
    </w:p>
    <w:p w14:paraId="61240A74" w14:textId="4E85AC8E" w:rsidR="002962C0" w:rsidRPr="00521357" w:rsidRDefault="002962C0" w:rsidP="002E5A39">
      <w:pPr>
        <w:ind w:firstLine="0"/>
        <w:jc w:val="both"/>
        <w:rPr>
          <w:rFonts w:cs="Times New Roman"/>
          <w:b/>
          <w:bCs/>
          <w:szCs w:val="24"/>
        </w:rPr>
      </w:pPr>
      <w:r w:rsidRPr="00521357">
        <w:rPr>
          <w:rFonts w:cs="Times New Roman"/>
          <w:noProof/>
          <w:szCs w:val="24"/>
          <w:lang w:eastAsia="lt-LT"/>
        </w:rPr>
        <w:lastRenderedPageBreak/>
        <w:drawing>
          <wp:inline distT="0" distB="0" distL="0" distR="0" wp14:anchorId="7939909C" wp14:editId="306DA663">
            <wp:extent cx="4895021" cy="3549925"/>
            <wp:effectExtent l="0" t="0" r="1270" b="12700"/>
            <wp:docPr id="1736597233"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4B6194-EAF8-54F6-D2E2-2BBB1386E3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979034" w14:textId="0A649982" w:rsidR="005F453E" w:rsidRPr="00521357" w:rsidRDefault="005F453E" w:rsidP="00C0538B">
      <w:pPr>
        <w:ind w:firstLine="0"/>
        <w:rPr>
          <w:rFonts w:cs="Times New Roman"/>
          <w:szCs w:val="24"/>
        </w:rPr>
      </w:pPr>
    </w:p>
    <w:p w14:paraId="0CEFCDA0" w14:textId="4CEB598D" w:rsidR="00C8052A" w:rsidRPr="00521357" w:rsidRDefault="000D5FC0" w:rsidP="00FC0FB9">
      <w:pPr>
        <w:ind w:firstLine="0"/>
        <w:jc w:val="both"/>
        <w:rPr>
          <w:rFonts w:cs="Times New Roman"/>
          <w:b/>
          <w:iCs/>
          <w:szCs w:val="24"/>
        </w:rPr>
      </w:pPr>
      <w:bookmarkStart w:id="5" w:name="_Hlk154568608"/>
      <w:r w:rsidRPr="00521357">
        <w:rPr>
          <w:rFonts w:cs="Times New Roman"/>
          <w:b/>
          <w:iCs/>
          <w:color w:val="000000" w:themeColor="text1"/>
          <w:szCs w:val="24"/>
        </w:rPr>
        <w:t>1 pav. Aplinkos oro taršos kietosiomis dalelėmis (KD2,5) koncentracijos (µg/m</w:t>
      </w:r>
      <w:r w:rsidRPr="00521357">
        <w:rPr>
          <w:rFonts w:cs="Times New Roman"/>
          <w:b/>
          <w:iCs/>
          <w:color w:val="000000" w:themeColor="text1"/>
          <w:szCs w:val="24"/>
          <w:vertAlign w:val="superscript"/>
        </w:rPr>
        <w:t>3</w:t>
      </w:r>
      <w:r w:rsidRPr="00521357">
        <w:rPr>
          <w:rFonts w:cs="Times New Roman"/>
          <w:b/>
          <w:iCs/>
          <w:color w:val="000000" w:themeColor="text1"/>
          <w:szCs w:val="24"/>
        </w:rPr>
        <w:t>) vidurkių ilgalaikės tendencijos</w:t>
      </w:r>
      <w:r w:rsidR="00C0538B" w:rsidRPr="00521357">
        <w:rPr>
          <w:rFonts w:cs="Times New Roman"/>
          <w:b/>
          <w:iCs/>
          <w:color w:val="000000" w:themeColor="text1"/>
          <w:szCs w:val="24"/>
        </w:rPr>
        <w:t xml:space="preserve"> 2015–202</w:t>
      </w:r>
      <w:r w:rsidR="000472B8" w:rsidRPr="00521357">
        <w:rPr>
          <w:rFonts w:cs="Times New Roman"/>
          <w:b/>
          <w:iCs/>
          <w:color w:val="000000" w:themeColor="text1"/>
          <w:szCs w:val="24"/>
        </w:rPr>
        <w:t>3</w:t>
      </w:r>
      <w:r w:rsidR="00C0538B" w:rsidRPr="00521357">
        <w:rPr>
          <w:rFonts w:cs="Times New Roman"/>
          <w:b/>
          <w:iCs/>
          <w:color w:val="000000" w:themeColor="text1"/>
          <w:szCs w:val="24"/>
        </w:rPr>
        <w:t xml:space="preserve"> m.</w:t>
      </w:r>
      <w:r w:rsidR="00C8052A" w:rsidRPr="00521357">
        <w:rPr>
          <w:rFonts w:cs="Times New Roman"/>
          <w:b/>
          <w:iCs/>
          <w:color w:val="000000" w:themeColor="text1"/>
          <w:szCs w:val="24"/>
        </w:rPr>
        <w:t xml:space="preserve"> miestuose palyginus su PSO ribin</w:t>
      </w:r>
      <w:r w:rsidR="000472B8" w:rsidRPr="00521357">
        <w:rPr>
          <w:rFonts w:cs="Times New Roman"/>
          <w:b/>
          <w:iCs/>
          <w:color w:val="000000" w:themeColor="text1"/>
          <w:szCs w:val="24"/>
        </w:rPr>
        <w:t xml:space="preserve">iu dydžiu </w:t>
      </w:r>
      <w:r w:rsidR="00C8052A" w:rsidRPr="00521357">
        <w:rPr>
          <w:rFonts w:cs="Times New Roman"/>
          <w:b/>
          <w:iCs/>
          <w:color w:val="000000" w:themeColor="text1"/>
          <w:szCs w:val="24"/>
        </w:rPr>
        <w:t>(</w:t>
      </w:r>
      <w:r w:rsidR="002A6249" w:rsidRPr="00521357">
        <w:rPr>
          <w:rFonts w:cs="Times New Roman"/>
          <w:b/>
          <w:iCs/>
          <w:szCs w:val="24"/>
        </w:rPr>
        <w:t>iki 2021 m. taikytas -</w:t>
      </w:r>
      <w:r w:rsidR="00C8052A" w:rsidRPr="00521357">
        <w:rPr>
          <w:rFonts w:cs="Times New Roman"/>
          <w:b/>
          <w:iCs/>
          <w:szCs w:val="24"/>
        </w:rPr>
        <w:t xml:space="preserve"> C</w:t>
      </w:r>
      <w:r w:rsidR="00C8052A" w:rsidRPr="00521357">
        <w:rPr>
          <w:rFonts w:cs="Times New Roman"/>
          <w:b/>
          <w:iCs/>
          <w:szCs w:val="24"/>
          <w:vertAlign w:val="subscript"/>
        </w:rPr>
        <w:t>0</w:t>
      </w:r>
      <w:r w:rsidR="00C8052A" w:rsidRPr="00521357">
        <w:rPr>
          <w:rFonts w:cs="Times New Roman"/>
          <w:b/>
          <w:iCs/>
          <w:szCs w:val="24"/>
        </w:rPr>
        <w:t xml:space="preserve"> = 10 </w:t>
      </w:r>
      <w:proofErr w:type="spellStart"/>
      <w:r w:rsidR="00C8052A" w:rsidRPr="00521357">
        <w:rPr>
          <w:rFonts w:cs="Times New Roman"/>
          <w:b/>
          <w:iCs/>
          <w:szCs w:val="24"/>
        </w:rPr>
        <w:t>μg</w:t>
      </w:r>
      <w:proofErr w:type="spellEnd"/>
      <w:r w:rsidR="00C8052A" w:rsidRPr="00521357">
        <w:rPr>
          <w:rFonts w:cs="Times New Roman"/>
          <w:b/>
          <w:iCs/>
          <w:szCs w:val="24"/>
        </w:rPr>
        <w:t>/m</w:t>
      </w:r>
      <w:r w:rsidR="00C8052A" w:rsidRPr="00521357">
        <w:rPr>
          <w:rFonts w:cs="Times New Roman"/>
          <w:b/>
          <w:iCs/>
          <w:szCs w:val="24"/>
          <w:vertAlign w:val="superscript"/>
        </w:rPr>
        <w:t>3</w:t>
      </w:r>
      <w:r w:rsidR="002A6249" w:rsidRPr="00521357">
        <w:rPr>
          <w:rFonts w:cs="Times New Roman"/>
          <w:b/>
          <w:iCs/>
          <w:szCs w:val="24"/>
        </w:rPr>
        <w:t xml:space="preserve">; </w:t>
      </w:r>
      <w:r w:rsidR="00C8052A" w:rsidRPr="00521357">
        <w:rPr>
          <w:rFonts w:cs="Times New Roman"/>
          <w:b/>
          <w:iCs/>
          <w:szCs w:val="24"/>
        </w:rPr>
        <w:t xml:space="preserve"> </w:t>
      </w:r>
      <w:r w:rsidR="002A6249" w:rsidRPr="00521357">
        <w:rPr>
          <w:rFonts w:cs="Times New Roman"/>
          <w:b/>
          <w:iCs/>
          <w:szCs w:val="24"/>
        </w:rPr>
        <w:t>nuo 2021 m. - C</w:t>
      </w:r>
      <w:r w:rsidR="002A6249" w:rsidRPr="00521357">
        <w:rPr>
          <w:rFonts w:cs="Times New Roman"/>
          <w:b/>
          <w:iCs/>
          <w:szCs w:val="24"/>
          <w:vertAlign w:val="subscript"/>
        </w:rPr>
        <w:t>0</w:t>
      </w:r>
      <w:r w:rsidR="002A6249" w:rsidRPr="00521357">
        <w:rPr>
          <w:rFonts w:cs="Times New Roman"/>
          <w:b/>
          <w:iCs/>
          <w:szCs w:val="24"/>
        </w:rPr>
        <w:t xml:space="preserve"> = 5 μg/m</w:t>
      </w:r>
      <w:r w:rsidR="002A6249" w:rsidRPr="00521357">
        <w:rPr>
          <w:rFonts w:cs="Times New Roman"/>
          <w:b/>
          <w:iCs/>
          <w:szCs w:val="24"/>
          <w:vertAlign w:val="superscript"/>
        </w:rPr>
        <w:t>3</w:t>
      </w:r>
      <w:r w:rsidR="00C8052A" w:rsidRPr="00521357">
        <w:rPr>
          <w:rFonts w:cs="Times New Roman"/>
          <w:b/>
          <w:iCs/>
          <w:szCs w:val="24"/>
        </w:rPr>
        <w:t>)</w:t>
      </w:r>
    </w:p>
    <w:bookmarkEnd w:id="5"/>
    <w:p w14:paraId="54F0AA35" w14:textId="77777777" w:rsidR="000E0673" w:rsidRPr="00521357" w:rsidRDefault="000E0673" w:rsidP="001531EE">
      <w:pPr>
        <w:jc w:val="both"/>
        <w:rPr>
          <w:rFonts w:cs="Times New Roman"/>
          <w:szCs w:val="24"/>
        </w:rPr>
      </w:pPr>
    </w:p>
    <w:p w14:paraId="2FBE9DA8" w14:textId="6E145C0D" w:rsidR="00457C81" w:rsidRPr="00521357" w:rsidRDefault="00C61094" w:rsidP="001531EE">
      <w:pPr>
        <w:jc w:val="both"/>
        <w:rPr>
          <w:rFonts w:cs="Times New Roman"/>
          <w:szCs w:val="24"/>
        </w:rPr>
      </w:pPr>
      <w:r w:rsidRPr="00521357">
        <w:rPr>
          <w:rFonts w:cs="Times New Roman"/>
          <w:szCs w:val="24"/>
        </w:rPr>
        <w:t>Priešlaikin</w:t>
      </w:r>
      <w:r w:rsidR="003050D9" w:rsidRPr="00521357">
        <w:rPr>
          <w:rFonts w:cs="Times New Roman"/>
          <w:szCs w:val="24"/>
        </w:rPr>
        <w:t>ių mirčių</w:t>
      </w:r>
      <w:r w:rsidRPr="00521357">
        <w:rPr>
          <w:rFonts w:cs="Times New Roman"/>
          <w:szCs w:val="24"/>
        </w:rPr>
        <w:t>, siejam</w:t>
      </w:r>
      <w:r w:rsidR="003050D9" w:rsidRPr="00521357">
        <w:rPr>
          <w:rFonts w:cs="Times New Roman"/>
          <w:szCs w:val="24"/>
        </w:rPr>
        <w:t>ų</w:t>
      </w:r>
      <w:r w:rsidRPr="00521357">
        <w:rPr>
          <w:rFonts w:cs="Times New Roman"/>
          <w:szCs w:val="24"/>
        </w:rPr>
        <w:t xml:space="preserve"> su aplinkos oro užterštumu</w:t>
      </w:r>
      <w:r w:rsidR="00041573" w:rsidRPr="00521357">
        <w:rPr>
          <w:rFonts w:cs="Times New Roman"/>
          <w:szCs w:val="24"/>
        </w:rPr>
        <w:t xml:space="preserve"> kietosiomis dalelėmis</w:t>
      </w:r>
      <w:r w:rsidRPr="00521357">
        <w:rPr>
          <w:rFonts w:cs="Times New Roman"/>
          <w:szCs w:val="24"/>
        </w:rPr>
        <w:t>,</w:t>
      </w:r>
      <w:r w:rsidR="003050D9" w:rsidRPr="00521357">
        <w:rPr>
          <w:rFonts w:cs="Times New Roman"/>
          <w:szCs w:val="24"/>
        </w:rPr>
        <w:t xml:space="preserve"> abosliutūs skaičiai</w:t>
      </w:r>
      <w:r w:rsidRPr="00521357">
        <w:rPr>
          <w:rFonts w:cs="Times New Roman"/>
          <w:szCs w:val="24"/>
        </w:rPr>
        <w:t xml:space="preserve"> Lietuvos miestuose </w:t>
      </w:r>
      <w:r w:rsidR="00BB14D0" w:rsidRPr="00521357">
        <w:rPr>
          <w:rFonts w:cs="Times New Roman"/>
          <w:szCs w:val="24"/>
        </w:rPr>
        <w:t>2015</w:t>
      </w:r>
      <w:r w:rsidRPr="00521357">
        <w:rPr>
          <w:rFonts w:cs="Times New Roman"/>
          <w:szCs w:val="24"/>
        </w:rPr>
        <w:t>–202</w:t>
      </w:r>
      <w:r w:rsidR="008B1303" w:rsidRPr="00521357">
        <w:rPr>
          <w:rFonts w:cs="Times New Roman"/>
          <w:szCs w:val="24"/>
        </w:rPr>
        <w:t>3</w:t>
      </w:r>
      <w:r w:rsidR="00915148" w:rsidRPr="00521357">
        <w:rPr>
          <w:rFonts w:cs="Times New Roman"/>
          <w:szCs w:val="24"/>
        </w:rPr>
        <w:t> </w:t>
      </w:r>
      <w:r w:rsidRPr="00521357">
        <w:rPr>
          <w:rFonts w:cs="Times New Roman"/>
          <w:szCs w:val="24"/>
        </w:rPr>
        <w:t xml:space="preserve">m., </w:t>
      </w:r>
      <w:r w:rsidR="00457C81" w:rsidRPr="00521357">
        <w:rPr>
          <w:rFonts w:cs="Times New Roman"/>
          <w:szCs w:val="24"/>
        </w:rPr>
        <w:t>apskaičiuot</w:t>
      </w:r>
      <w:r w:rsidR="003050D9" w:rsidRPr="00521357">
        <w:rPr>
          <w:rFonts w:cs="Times New Roman"/>
          <w:szCs w:val="24"/>
        </w:rPr>
        <w:t>i</w:t>
      </w:r>
      <w:r w:rsidR="00457C81" w:rsidRPr="00521357">
        <w:rPr>
          <w:rFonts w:cs="Times New Roman"/>
          <w:szCs w:val="24"/>
        </w:rPr>
        <w:t xml:space="preserve"> AirQ+ įrankiu</w:t>
      </w:r>
      <w:r w:rsidR="00C0538B" w:rsidRPr="00521357">
        <w:rPr>
          <w:rFonts w:cs="Times New Roman"/>
          <w:szCs w:val="24"/>
        </w:rPr>
        <w:t>,</w:t>
      </w:r>
      <w:r w:rsidR="00457C81" w:rsidRPr="00521357">
        <w:rPr>
          <w:rFonts w:cs="Times New Roman"/>
          <w:szCs w:val="24"/>
        </w:rPr>
        <w:t xml:space="preserve"> pagal pirmiau nurodytas prielaidas yra pateiktos </w:t>
      </w:r>
      <w:r w:rsidR="00FB4C6C" w:rsidRPr="00521357">
        <w:rPr>
          <w:rFonts w:cs="Times New Roman"/>
          <w:szCs w:val="24"/>
        </w:rPr>
        <w:t>1</w:t>
      </w:r>
      <w:r w:rsidR="00457C81" w:rsidRPr="00521357">
        <w:rPr>
          <w:rFonts w:cs="Times New Roman"/>
          <w:szCs w:val="24"/>
        </w:rPr>
        <w:t xml:space="preserve"> </w:t>
      </w:r>
      <w:r w:rsidR="002E5A39" w:rsidRPr="00521357">
        <w:rPr>
          <w:rFonts w:cs="Times New Roman"/>
          <w:szCs w:val="24"/>
        </w:rPr>
        <w:t xml:space="preserve">ir </w:t>
      </w:r>
      <w:r w:rsidR="00FB4C6C" w:rsidRPr="00521357">
        <w:rPr>
          <w:rFonts w:cs="Times New Roman"/>
          <w:szCs w:val="24"/>
        </w:rPr>
        <w:t>2</w:t>
      </w:r>
      <w:r w:rsidR="002E5A39" w:rsidRPr="00521357">
        <w:rPr>
          <w:rFonts w:cs="Times New Roman"/>
          <w:szCs w:val="24"/>
        </w:rPr>
        <w:t xml:space="preserve"> </w:t>
      </w:r>
      <w:r w:rsidR="00457C81" w:rsidRPr="00521357">
        <w:rPr>
          <w:rFonts w:cs="Times New Roman"/>
          <w:szCs w:val="24"/>
        </w:rPr>
        <w:t>lentelė</w:t>
      </w:r>
      <w:r w:rsidR="002E5A39" w:rsidRPr="00521357">
        <w:rPr>
          <w:rFonts w:cs="Times New Roman"/>
          <w:szCs w:val="24"/>
        </w:rPr>
        <w:t>s</w:t>
      </w:r>
      <w:r w:rsidR="00457C81" w:rsidRPr="00521357">
        <w:rPr>
          <w:rFonts w:cs="Times New Roman"/>
          <w:szCs w:val="24"/>
        </w:rPr>
        <w:t xml:space="preserve">e. </w:t>
      </w:r>
      <w:r w:rsidR="00136AAE" w:rsidRPr="00521357">
        <w:rPr>
          <w:rFonts w:cs="Times New Roman"/>
          <w:szCs w:val="24"/>
        </w:rPr>
        <w:t xml:space="preserve">Analizuojant </w:t>
      </w:r>
      <w:r w:rsidR="00A00DC4" w:rsidRPr="00521357">
        <w:rPr>
          <w:rFonts w:cs="Times New Roman"/>
          <w:szCs w:val="24"/>
        </w:rPr>
        <w:t>1</w:t>
      </w:r>
      <w:r w:rsidR="00BB14D0" w:rsidRPr="00521357">
        <w:rPr>
          <w:rFonts w:cs="Times New Roman"/>
          <w:szCs w:val="24"/>
        </w:rPr>
        <w:t xml:space="preserve"> </w:t>
      </w:r>
      <w:r w:rsidR="00136AAE" w:rsidRPr="00521357">
        <w:rPr>
          <w:rFonts w:cs="Times New Roman"/>
          <w:szCs w:val="24"/>
        </w:rPr>
        <w:t>lentel</w:t>
      </w:r>
      <w:r w:rsidR="00A00DC4" w:rsidRPr="00521357">
        <w:rPr>
          <w:rFonts w:cs="Times New Roman"/>
          <w:szCs w:val="24"/>
        </w:rPr>
        <w:t>ės</w:t>
      </w:r>
      <w:r w:rsidR="00136AAE" w:rsidRPr="00521357">
        <w:rPr>
          <w:rFonts w:cs="Times New Roman"/>
          <w:szCs w:val="24"/>
        </w:rPr>
        <w:t xml:space="preserve"> duomenis, matyti, ka</w:t>
      </w:r>
      <w:r w:rsidR="00B63B84" w:rsidRPr="00521357">
        <w:rPr>
          <w:rFonts w:cs="Times New Roman"/>
          <w:szCs w:val="24"/>
        </w:rPr>
        <w:t>i</w:t>
      </w:r>
      <w:r w:rsidR="00136AAE" w:rsidRPr="00521357">
        <w:rPr>
          <w:rFonts w:cs="Times New Roman"/>
          <w:szCs w:val="24"/>
        </w:rPr>
        <w:t xml:space="preserve"> skaičiavimuose taikomas ribinis arba poveikio neturintis lygis (C</w:t>
      </w:r>
      <w:r w:rsidR="00136AAE" w:rsidRPr="00521357">
        <w:rPr>
          <w:rFonts w:cs="Times New Roman"/>
          <w:szCs w:val="24"/>
          <w:vertAlign w:val="subscript"/>
        </w:rPr>
        <w:t>0</w:t>
      </w:r>
      <w:r w:rsidR="00136AAE" w:rsidRPr="00521357">
        <w:rPr>
          <w:rFonts w:cs="Times New Roman"/>
          <w:szCs w:val="24"/>
        </w:rPr>
        <w:t xml:space="preserve">), lygus </w:t>
      </w:r>
      <w:r w:rsidR="00A00DC4" w:rsidRPr="00521357">
        <w:rPr>
          <w:rFonts w:cs="Times New Roman"/>
          <w:szCs w:val="24"/>
        </w:rPr>
        <w:t>10</w:t>
      </w:r>
      <w:r w:rsidR="00136AAE" w:rsidRPr="00521357">
        <w:rPr>
          <w:rFonts w:cs="Times New Roman"/>
          <w:szCs w:val="24"/>
        </w:rPr>
        <w:t xml:space="preserve"> </w:t>
      </w:r>
      <w:proofErr w:type="spellStart"/>
      <w:r w:rsidR="00136AAE" w:rsidRPr="00521357">
        <w:rPr>
          <w:rFonts w:cs="Times New Roman"/>
          <w:szCs w:val="24"/>
        </w:rPr>
        <w:t>μg</w:t>
      </w:r>
      <w:proofErr w:type="spellEnd"/>
      <w:r w:rsidR="00136AAE" w:rsidRPr="00521357">
        <w:rPr>
          <w:rFonts w:cs="Times New Roman"/>
          <w:szCs w:val="24"/>
        </w:rPr>
        <w:t>/m</w:t>
      </w:r>
      <w:r w:rsidR="00136AAE" w:rsidRPr="00521357">
        <w:rPr>
          <w:rFonts w:cs="Times New Roman"/>
          <w:szCs w:val="24"/>
          <w:vertAlign w:val="superscript"/>
        </w:rPr>
        <w:t>3</w:t>
      </w:r>
      <w:r w:rsidR="00136AAE" w:rsidRPr="00521357">
        <w:rPr>
          <w:rFonts w:cs="Times New Roman"/>
          <w:szCs w:val="24"/>
        </w:rPr>
        <w:t xml:space="preserve">, </w:t>
      </w:r>
      <w:r w:rsidR="00A00DC4" w:rsidRPr="00521357">
        <w:rPr>
          <w:rFonts w:cs="Times New Roman"/>
          <w:szCs w:val="24"/>
        </w:rPr>
        <w:t>2021</w:t>
      </w:r>
      <w:r w:rsidR="002E58F4">
        <w:rPr>
          <w:rFonts w:cs="Times New Roman"/>
          <w:iCs/>
          <w:szCs w:val="24"/>
        </w:rPr>
        <w:t>–</w:t>
      </w:r>
      <w:r w:rsidR="00A00DC4" w:rsidRPr="00521357">
        <w:rPr>
          <w:rFonts w:cs="Times New Roman"/>
          <w:szCs w:val="24"/>
        </w:rPr>
        <w:t xml:space="preserve">2023 m.  periodą palyginti su </w:t>
      </w:r>
      <w:r w:rsidR="00136AAE" w:rsidRPr="00521357">
        <w:rPr>
          <w:rFonts w:cs="Times New Roman"/>
          <w:szCs w:val="24"/>
        </w:rPr>
        <w:t>2015</w:t>
      </w:r>
      <w:r w:rsidR="002E58F4">
        <w:rPr>
          <w:rFonts w:cs="Times New Roman"/>
          <w:iCs/>
          <w:szCs w:val="24"/>
        </w:rPr>
        <w:t>–</w:t>
      </w:r>
      <w:r w:rsidR="00136AAE" w:rsidRPr="00521357">
        <w:rPr>
          <w:rFonts w:cs="Times New Roman"/>
          <w:szCs w:val="24"/>
        </w:rPr>
        <w:t>2017 m. periodu</w:t>
      </w:r>
      <w:r w:rsidR="00A00DC4" w:rsidRPr="00521357">
        <w:rPr>
          <w:rFonts w:cs="Times New Roman"/>
          <w:szCs w:val="24"/>
        </w:rPr>
        <w:t>,  bendras</w:t>
      </w:r>
      <w:r w:rsidR="00136AAE" w:rsidRPr="00521357">
        <w:rPr>
          <w:rFonts w:cs="Times New Roman"/>
          <w:szCs w:val="24"/>
        </w:rPr>
        <w:t xml:space="preserve"> priešlaikinių mirčių dėl ilgalaikio KD2,5 poveikio</w:t>
      </w:r>
      <w:r w:rsidR="00A00DC4" w:rsidRPr="00521357">
        <w:rPr>
          <w:rFonts w:cs="Times New Roman"/>
          <w:szCs w:val="24"/>
        </w:rPr>
        <w:t xml:space="preserve"> skaičius, sumažėjo</w:t>
      </w:r>
      <w:r w:rsidR="00136AAE" w:rsidRPr="00521357">
        <w:rPr>
          <w:rFonts w:cs="Times New Roman"/>
          <w:szCs w:val="24"/>
        </w:rPr>
        <w:t xml:space="preserve"> </w:t>
      </w:r>
      <w:r w:rsidR="00A00DC4" w:rsidRPr="00521357">
        <w:rPr>
          <w:rFonts w:cs="Times New Roman"/>
          <w:szCs w:val="24"/>
        </w:rPr>
        <w:t>139 proc. Priešlaikinės mirtys 2021</w:t>
      </w:r>
      <w:r w:rsidR="002E58F4">
        <w:rPr>
          <w:rFonts w:cs="Times New Roman"/>
          <w:iCs/>
          <w:szCs w:val="24"/>
        </w:rPr>
        <w:t>–</w:t>
      </w:r>
      <w:r w:rsidR="00A00DC4" w:rsidRPr="00521357">
        <w:rPr>
          <w:rFonts w:cs="Times New Roman"/>
          <w:szCs w:val="24"/>
        </w:rPr>
        <w:t>2023 m. „išnyko“ Kaune, Mažeikiuose, Naujoje Akmenėje, Jonavoje ir Kėdainiuose. 2021</w:t>
      </w:r>
      <w:r w:rsidR="002E58F4">
        <w:rPr>
          <w:rFonts w:cs="Times New Roman"/>
          <w:iCs/>
          <w:szCs w:val="24"/>
        </w:rPr>
        <w:t>–</w:t>
      </w:r>
      <w:r w:rsidR="00A00DC4" w:rsidRPr="00521357">
        <w:rPr>
          <w:rFonts w:cs="Times New Roman"/>
          <w:szCs w:val="24"/>
        </w:rPr>
        <w:t>2023 m.  periodą palyginti su 2015</w:t>
      </w:r>
      <w:r w:rsidR="002E58F4">
        <w:rPr>
          <w:rFonts w:cs="Times New Roman"/>
          <w:iCs/>
          <w:szCs w:val="24"/>
        </w:rPr>
        <w:t>–</w:t>
      </w:r>
      <w:r w:rsidR="00A00DC4" w:rsidRPr="00521357">
        <w:rPr>
          <w:rFonts w:cs="Times New Roman"/>
          <w:szCs w:val="24"/>
        </w:rPr>
        <w:t>2017 m. periodu, labiausiai priešlaikinių mirčių mažėjo Vilniuje (162 proc.), Klaipėdoje (139 proc.), didėjo Šiauliuose</w:t>
      </w:r>
      <w:r w:rsidR="00C412F6" w:rsidRPr="00521357">
        <w:rPr>
          <w:rFonts w:cs="Times New Roman"/>
          <w:szCs w:val="24"/>
        </w:rPr>
        <w:t xml:space="preserve"> (93 proc.). Panevėžyje prielaikinės mirtys nuosekliai mažėjo nuo 2019</w:t>
      </w:r>
      <w:r w:rsidR="002E58F4">
        <w:rPr>
          <w:rFonts w:cs="Times New Roman"/>
          <w:iCs/>
          <w:szCs w:val="24"/>
        </w:rPr>
        <w:t>–</w:t>
      </w:r>
      <w:r w:rsidR="00C412F6" w:rsidRPr="00521357">
        <w:rPr>
          <w:rFonts w:cs="Times New Roman"/>
          <w:szCs w:val="24"/>
        </w:rPr>
        <w:t>2021 m.</w:t>
      </w:r>
    </w:p>
    <w:p w14:paraId="6E70D3EC" w14:textId="77777777" w:rsidR="00A00DC4" w:rsidRPr="00521357" w:rsidRDefault="00A00DC4" w:rsidP="001531EE">
      <w:pPr>
        <w:jc w:val="both"/>
        <w:rPr>
          <w:rFonts w:cs="Times New Roman"/>
          <w:szCs w:val="24"/>
        </w:rPr>
      </w:pPr>
    </w:p>
    <w:p w14:paraId="4BB2DE7D" w14:textId="3FB4EFD1" w:rsidR="0064078E" w:rsidRPr="00521357" w:rsidRDefault="00FB4C6C" w:rsidP="00521357">
      <w:pPr>
        <w:ind w:right="142" w:firstLine="0"/>
        <w:jc w:val="both"/>
        <w:rPr>
          <w:rFonts w:cs="Times New Roman"/>
          <w:b/>
          <w:szCs w:val="24"/>
        </w:rPr>
      </w:pPr>
      <w:r w:rsidRPr="00521357">
        <w:rPr>
          <w:rFonts w:cs="Times New Roman"/>
          <w:b/>
          <w:szCs w:val="24"/>
        </w:rPr>
        <w:t>1</w:t>
      </w:r>
      <w:r w:rsidR="004444D5" w:rsidRPr="00521357">
        <w:rPr>
          <w:rFonts w:cs="Times New Roman"/>
          <w:b/>
          <w:szCs w:val="24"/>
        </w:rPr>
        <w:t xml:space="preserve"> lentelė. Gyventojų (amžiaus grupė +30) priešlaikinių mirčių, priskirtinų ilgalaikiam kietųjų dalelių (KD2,5) poveikiui, skaičius vidutiniškai per metus </w:t>
      </w:r>
      <w:r w:rsidR="0064078E" w:rsidRPr="00521357">
        <w:rPr>
          <w:rFonts w:cs="Times New Roman"/>
          <w:b/>
          <w:szCs w:val="24"/>
        </w:rPr>
        <w:t xml:space="preserve"> miestuose 2015</w:t>
      </w:r>
      <w:r w:rsidR="002E58F4">
        <w:rPr>
          <w:rFonts w:cs="Times New Roman"/>
          <w:iCs/>
          <w:szCs w:val="24"/>
        </w:rPr>
        <w:t>–</w:t>
      </w:r>
      <w:r w:rsidR="0064078E" w:rsidRPr="00521357">
        <w:rPr>
          <w:rFonts w:cs="Times New Roman"/>
          <w:b/>
          <w:szCs w:val="24"/>
        </w:rPr>
        <w:t>202</w:t>
      </w:r>
      <w:r w:rsidR="003050D9" w:rsidRPr="00521357">
        <w:rPr>
          <w:rFonts w:cs="Times New Roman"/>
          <w:b/>
          <w:szCs w:val="24"/>
        </w:rPr>
        <w:t xml:space="preserve">3 </w:t>
      </w:r>
      <w:r w:rsidR="0064078E" w:rsidRPr="00521357">
        <w:rPr>
          <w:rFonts w:cs="Times New Roman"/>
          <w:b/>
          <w:szCs w:val="24"/>
        </w:rPr>
        <w:t>m. laikotarpiu, kai C</w:t>
      </w:r>
      <w:r w:rsidR="0064078E" w:rsidRPr="00521357">
        <w:rPr>
          <w:rFonts w:cs="Times New Roman"/>
          <w:b/>
          <w:szCs w:val="24"/>
          <w:vertAlign w:val="subscript"/>
        </w:rPr>
        <w:t>0</w:t>
      </w:r>
      <w:r w:rsidR="0064078E" w:rsidRPr="00521357">
        <w:rPr>
          <w:rFonts w:cs="Times New Roman"/>
          <w:b/>
          <w:szCs w:val="24"/>
        </w:rPr>
        <w:t xml:space="preserve"> = 10 μg/m</w:t>
      </w:r>
      <w:r w:rsidR="0064078E" w:rsidRPr="00521357">
        <w:rPr>
          <w:rFonts w:cs="Times New Roman"/>
          <w:b/>
          <w:szCs w:val="24"/>
          <w:vertAlign w:val="superscript"/>
        </w:rPr>
        <w:t>3</w:t>
      </w:r>
      <w:r w:rsidR="0064078E" w:rsidRPr="00521357">
        <w:rPr>
          <w:rFonts w:cs="Times New Roman"/>
          <w:b/>
          <w:szCs w:val="24"/>
        </w:rPr>
        <w:t xml:space="preserve"> )</w:t>
      </w:r>
    </w:p>
    <w:p w14:paraId="73BFEED9" w14:textId="2C1179B1" w:rsidR="00457C81" w:rsidRPr="00521357" w:rsidRDefault="00457C81" w:rsidP="004444D5">
      <w:pPr>
        <w:tabs>
          <w:tab w:val="left" w:pos="737"/>
          <w:tab w:val="left" w:pos="3037"/>
        </w:tabs>
        <w:rPr>
          <w:rFonts w:cs="Times New Roman"/>
          <w:b/>
          <w:color w:val="000000" w:themeColor="text1"/>
          <w:szCs w:val="24"/>
        </w:rPr>
      </w:pPr>
    </w:p>
    <w:tbl>
      <w:tblPr>
        <w:tblW w:w="99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997"/>
        <w:gridCol w:w="992"/>
        <w:gridCol w:w="995"/>
        <w:gridCol w:w="992"/>
        <w:gridCol w:w="992"/>
        <w:gridCol w:w="992"/>
        <w:gridCol w:w="993"/>
        <w:gridCol w:w="1270"/>
      </w:tblGrid>
      <w:tr w:rsidR="002E58F4" w:rsidRPr="00521357" w14:paraId="4DAC8A63" w14:textId="77777777" w:rsidTr="002E58F4">
        <w:trPr>
          <w:trHeight w:val="576"/>
        </w:trPr>
        <w:tc>
          <w:tcPr>
            <w:tcW w:w="1695" w:type="dxa"/>
            <w:shd w:val="clear" w:color="auto" w:fill="auto"/>
            <w:noWrap/>
            <w:vAlign w:val="bottom"/>
            <w:hideMark/>
          </w:tcPr>
          <w:p w14:paraId="315A7729" w14:textId="56D14D44"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Miestas/</w:t>
            </w:r>
            <w:r w:rsidR="002E58F4">
              <w:rPr>
                <w:rFonts w:eastAsia="Times New Roman" w:cs="Times New Roman"/>
                <w:color w:val="000000"/>
                <w:kern w:val="0"/>
                <w:szCs w:val="24"/>
                <w:lang w:eastAsia="lt-LT"/>
                <w14:ligatures w14:val="none"/>
              </w:rPr>
              <w:t xml:space="preserve"> </w:t>
            </w:r>
            <w:r w:rsidRPr="00A00DC4">
              <w:rPr>
                <w:rFonts w:eastAsia="Times New Roman" w:cs="Times New Roman"/>
                <w:color w:val="000000"/>
                <w:kern w:val="0"/>
                <w:szCs w:val="24"/>
                <w:lang w:eastAsia="lt-LT"/>
                <w14:ligatures w14:val="none"/>
              </w:rPr>
              <w:t xml:space="preserve">periodas </w:t>
            </w:r>
          </w:p>
        </w:tc>
        <w:tc>
          <w:tcPr>
            <w:tcW w:w="997" w:type="dxa"/>
            <w:shd w:val="clear" w:color="auto" w:fill="auto"/>
            <w:noWrap/>
            <w:vAlign w:val="bottom"/>
            <w:hideMark/>
          </w:tcPr>
          <w:p w14:paraId="769A1BAF" w14:textId="77777777" w:rsidR="00A00DC4" w:rsidRPr="00A00DC4" w:rsidRDefault="00A00DC4" w:rsidP="00521357">
            <w:pPr>
              <w:spacing w:line="240" w:lineRule="auto"/>
              <w:ind w:left="37"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2015–2017</w:t>
            </w:r>
          </w:p>
        </w:tc>
        <w:tc>
          <w:tcPr>
            <w:tcW w:w="992" w:type="dxa"/>
            <w:shd w:val="clear" w:color="auto" w:fill="auto"/>
            <w:noWrap/>
            <w:vAlign w:val="bottom"/>
            <w:hideMark/>
          </w:tcPr>
          <w:p w14:paraId="112506D5"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2016–2018</w:t>
            </w:r>
          </w:p>
        </w:tc>
        <w:tc>
          <w:tcPr>
            <w:tcW w:w="995" w:type="dxa"/>
            <w:shd w:val="clear" w:color="auto" w:fill="auto"/>
            <w:noWrap/>
            <w:vAlign w:val="bottom"/>
            <w:hideMark/>
          </w:tcPr>
          <w:p w14:paraId="5483CF67"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2017–2019</w:t>
            </w:r>
          </w:p>
        </w:tc>
        <w:tc>
          <w:tcPr>
            <w:tcW w:w="992" w:type="dxa"/>
            <w:shd w:val="clear" w:color="auto" w:fill="auto"/>
            <w:noWrap/>
            <w:vAlign w:val="bottom"/>
            <w:hideMark/>
          </w:tcPr>
          <w:p w14:paraId="5FB87AD5"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2018–2020</w:t>
            </w:r>
          </w:p>
        </w:tc>
        <w:tc>
          <w:tcPr>
            <w:tcW w:w="992" w:type="dxa"/>
            <w:shd w:val="clear" w:color="auto" w:fill="auto"/>
            <w:noWrap/>
            <w:vAlign w:val="bottom"/>
            <w:hideMark/>
          </w:tcPr>
          <w:p w14:paraId="434D241B"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2019–2021</w:t>
            </w:r>
          </w:p>
        </w:tc>
        <w:tc>
          <w:tcPr>
            <w:tcW w:w="992" w:type="dxa"/>
            <w:shd w:val="clear" w:color="auto" w:fill="auto"/>
            <w:noWrap/>
            <w:vAlign w:val="bottom"/>
            <w:hideMark/>
          </w:tcPr>
          <w:p w14:paraId="016EFAC7" w14:textId="7106AECC"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2020</w:t>
            </w:r>
            <w:r w:rsidR="002E58F4">
              <w:rPr>
                <w:rFonts w:cs="Times New Roman"/>
                <w:iCs/>
                <w:szCs w:val="24"/>
              </w:rPr>
              <w:t>–</w:t>
            </w:r>
            <w:r w:rsidRPr="00A00DC4">
              <w:rPr>
                <w:rFonts w:eastAsia="Times New Roman" w:cs="Times New Roman"/>
                <w:color w:val="000000"/>
                <w:kern w:val="0"/>
                <w:szCs w:val="24"/>
                <w:lang w:eastAsia="lt-LT"/>
                <w14:ligatures w14:val="none"/>
              </w:rPr>
              <w:t>2022</w:t>
            </w:r>
          </w:p>
        </w:tc>
        <w:tc>
          <w:tcPr>
            <w:tcW w:w="993" w:type="dxa"/>
            <w:shd w:val="clear" w:color="auto" w:fill="auto"/>
            <w:noWrap/>
            <w:vAlign w:val="bottom"/>
            <w:hideMark/>
          </w:tcPr>
          <w:p w14:paraId="1997450A" w14:textId="369AED7F"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2021</w:t>
            </w:r>
            <w:r w:rsidR="002E58F4">
              <w:rPr>
                <w:rFonts w:cs="Times New Roman"/>
                <w:iCs/>
                <w:szCs w:val="24"/>
              </w:rPr>
              <w:t>–</w:t>
            </w:r>
            <w:r w:rsidRPr="00A00DC4">
              <w:rPr>
                <w:rFonts w:eastAsia="Times New Roman" w:cs="Times New Roman"/>
                <w:color w:val="000000"/>
                <w:kern w:val="0"/>
                <w:szCs w:val="24"/>
                <w:lang w:eastAsia="lt-LT"/>
                <w14:ligatures w14:val="none"/>
              </w:rPr>
              <w:t>2023</w:t>
            </w:r>
          </w:p>
        </w:tc>
        <w:tc>
          <w:tcPr>
            <w:tcW w:w="1270" w:type="dxa"/>
            <w:shd w:val="clear" w:color="auto" w:fill="auto"/>
            <w:vAlign w:val="bottom"/>
            <w:hideMark/>
          </w:tcPr>
          <w:p w14:paraId="5B405292"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Pokytis,%</w:t>
            </w:r>
          </w:p>
        </w:tc>
      </w:tr>
      <w:tr w:rsidR="002E58F4" w:rsidRPr="00521357" w14:paraId="155B0ADA" w14:textId="77777777" w:rsidTr="002E58F4">
        <w:trPr>
          <w:trHeight w:val="288"/>
        </w:trPr>
        <w:tc>
          <w:tcPr>
            <w:tcW w:w="1695" w:type="dxa"/>
            <w:shd w:val="clear" w:color="auto" w:fill="auto"/>
            <w:noWrap/>
            <w:vAlign w:val="bottom"/>
            <w:hideMark/>
          </w:tcPr>
          <w:p w14:paraId="6F45C3F1"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 xml:space="preserve">Vilnius </w:t>
            </w:r>
          </w:p>
        </w:tc>
        <w:tc>
          <w:tcPr>
            <w:tcW w:w="997" w:type="dxa"/>
            <w:shd w:val="clear" w:color="auto" w:fill="auto"/>
            <w:noWrap/>
            <w:vAlign w:val="bottom"/>
            <w:hideMark/>
          </w:tcPr>
          <w:p w14:paraId="627AD56E"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181</w:t>
            </w:r>
          </w:p>
        </w:tc>
        <w:tc>
          <w:tcPr>
            <w:tcW w:w="992" w:type="dxa"/>
            <w:shd w:val="clear" w:color="auto" w:fill="auto"/>
            <w:noWrap/>
            <w:vAlign w:val="bottom"/>
            <w:hideMark/>
          </w:tcPr>
          <w:p w14:paraId="1D5AD7EC"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164</w:t>
            </w:r>
          </w:p>
        </w:tc>
        <w:tc>
          <w:tcPr>
            <w:tcW w:w="995" w:type="dxa"/>
            <w:shd w:val="clear" w:color="auto" w:fill="auto"/>
            <w:noWrap/>
            <w:vAlign w:val="bottom"/>
            <w:hideMark/>
          </w:tcPr>
          <w:p w14:paraId="411A2EFC"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135</w:t>
            </w:r>
          </w:p>
        </w:tc>
        <w:tc>
          <w:tcPr>
            <w:tcW w:w="992" w:type="dxa"/>
            <w:shd w:val="clear" w:color="auto" w:fill="auto"/>
            <w:noWrap/>
            <w:vAlign w:val="bottom"/>
            <w:hideMark/>
          </w:tcPr>
          <w:p w14:paraId="24894082"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116</w:t>
            </w:r>
          </w:p>
        </w:tc>
        <w:tc>
          <w:tcPr>
            <w:tcW w:w="992" w:type="dxa"/>
            <w:shd w:val="clear" w:color="auto" w:fill="auto"/>
            <w:noWrap/>
            <w:vAlign w:val="bottom"/>
            <w:hideMark/>
          </w:tcPr>
          <w:p w14:paraId="407C6F3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113</w:t>
            </w:r>
          </w:p>
        </w:tc>
        <w:tc>
          <w:tcPr>
            <w:tcW w:w="992" w:type="dxa"/>
            <w:shd w:val="clear" w:color="auto" w:fill="auto"/>
            <w:noWrap/>
            <w:vAlign w:val="bottom"/>
            <w:hideMark/>
          </w:tcPr>
          <w:p w14:paraId="00C3E029"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110</w:t>
            </w:r>
          </w:p>
        </w:tc>
        <w:tc>
          <w:tcPr>
            <w:tcW w:w="993" w:type="dxa"/>
            <w:shd w:val="clear" w:color="auto" w:fill="auto"/>
            <w:noWrap/>
            <w:vAlign w:val="bottom"/>
            <w:hideMark/>
          </w:tcPr>
          <w:p w14:paraId="757B416F"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69</w:t>
            </w:r>
          </w:p>
        </w:tc>
        <w:tc>
          <w:tcPr>
            <w:tcW w:w="1270" w:type="dxa"/>
            <w:shd w:val="clear" w:color="auto" w:fill="auto"/>
            <w:noWrap/>
            <w:vAlign w:val="bottom"/>
            <w:hideMark/>
          </w:tcPr>
          <w:p w14:paraId="148A368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-162,32</w:t>
            </w:r>
          </w:p>
        </w:tc>
      </w:tr>
      <w:tr w:rsidR="002E58F4" w:rsidRPr="00521357" w14:paraId="1CDD1066" w14:textId="77777777" w:rsidTr="002E58F4">
        <w:trPr>
          <w:trHeight w:val="288"/>
        </w:trPr>
        <w:tc>
          <w:tcPr>
            <w:tcW w:w="1695" w:type="dxa"/>
            <w:shd w:val="clear" w:color="auto" w:fill="auto"/>
            <w:noWrap/>
            <w:vAlign w:val="bottom"/>
            <w:hideMark/>
          </w:tcPr>
          <w:p w14:paraId="60BC01F1"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Kaunas</w:t>
            </w:r>
          </w:p>
        </w:tc>
        <w:tc>
          <w:tcPr>
            <w:tcW w:w="997" w:type="dxa"/>
            <w:shd w:val="clear" w:color="auto" w:fill="auto"/>
            <w:noWrap/>
            <w:vAlign w:val="bottom"/>
            <w:hideMark/>
          </w:tcPr>
          <w:p w14:paraId="27A375F6"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29</w:t>
            </w:r>
          </w:p>
        </w:tc>
        <w:tc>
          <w:tcPr>
            <w:tcW w:w="992" w:type="dxa"/>
            <w:shd w:val="clear" w:color="auto" w:fill="auto"/>
            <w:noWrap/>
            <w:vAlign w:val="bottom"/>
            <w:hideMark/>
          </w:tcPr>
          <w:p w14:paraId="44F11810"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40</w:t>
            </w:r>
          </w:p>
        </w:tc>
        <w:tc>
          <w:tcPr>
            <w:tcW w:w="995" w:type="dxa"/>
            <w:shd w:val="clear" w:color="auto" w:fill="auto"/>
            <w:noWrap/>
            <w:vAlign w:val="bottom"/>
            <w:hideMark/>
          </w:tcPr>
          <w:p w14:paraId="7034F26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67</w:t>
            </w:r>
          </w:p>
        </w:tc>
        <w:tc>
          <w:tcPr>
            <w:tcW w:w="992" w:type="dxa"/>
            <w:shd w:val="clear" w:color="auto" w:fill="auto"/>
            <w:noWrap/>
            <w:vAlign w:val="bottom"/>
            <w:hideMark/>
          </w:tcPr>
          <w:p w14:paraId="3A445C6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66</w:t>
            </w:r>
          </w:p>
        </w:tc>
        <w:tc>
          <w:tcPr>
            <w:tcW w:w="992" w:type="dxa"/>
            <w:shd w:val="clear" w:color="auto" w:fill="auto"/>
            <w:noWrap/>
            <w:vAlign w:val="bottom"/>
            <w:hideMark/>
          </w:tcPr>
          <w:p w14:paraId="6B9955A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55</w:t>
            </w:r>
          </w:p>
        </w:tc>
        <w:tc>
          <w:tcPr>
            <w:tcW w:w="992" w:type="dxa"/>
            <w:shd w:val="clear" w:color="auto" w:fill="auto"/>
            <w:noWrap/>
            <w:vAlign w:val="bottom"/>
            <w:hideMark/>
          </w:tcPr>
          <w:p w14:paraId="74779BA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13</w:t>
            </w:r>
          </w:p>
        </w:tc>
        <w:tc>
          <w:tcPr>
            <w:tcW w:w="993" w:type="dxa"/>
            <w:shd w:val="clear" w:color="000000" w:fill="FFFFFF"/>
            <w:noWrap/>
            <w:vAlign w:val="bottom"/>
            <w:hideMark/>
          </w:tcPr>
          <w:p w14:paraId="2B9BCB5C"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1270" w:type="dxa"/>
            <w:shd w:val="clear" w:color="auto" w:fill="auto"/>
            <w:noWrap/>
            <w:vAlign w:val="bottom"/>
            <w:hideMark/>
          </w:tcPr>
          <w:p w14:paraId="12D552FB"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w:t>
            </w:r>
          </w:p>
        </w:tc>
      </w:tr>
      <w:tr w:rsidR="002E58F4" w:rsidRPr="00521357" w14:paraId="3C7F0350" w14:textId="77777777" w:rsidTr="002E58F4">
        <w:trPr>
          <w:trHeight w:val="288"/>
        </w:trPr>
        <w:tc>
          <w:tcPr>
            <w:tcW w:w="1695" w:type="dxa"/>
            <w:shd w:val="clear" w:color="auto" w:fill="auto"/>
            <w:noWrap/>
            <w:vAlign w:val="bottom"/>
            <w:hideMark/>
          </w:tcPr>
          <w:p w14:paraId="67CAC8C8"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Klaipėda</w:t>
            </w:r>
          </w:p>
        </w:tc>
        <w:tc>
          <w:tcPr>
            <w:tcW w:w="997" w:type="dxa"/>
            <w:shd w:val="clear" w:color="auto" w:fill="auto"/>
            <w:noWrap/>
            <w:vAlign w:val="bottom"/>
            <w:hideMark/>
          </w:tcPr>
          <w:p w14:paraId="6985958B"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67</w:t>
            </w:r>
          </w:p>
        </w:tc>
        <w:tc>
          <w:tcPr>
            <w:tcW w:w="992" w:type="dxa"/>
            <w:shd w:val="clear" w:color="auto" w:fill="auto"/>
            <w:noWrap/>
            <w:vAlign w:val="bottom"/>
            <w:hideMark/>
          </w:tcPr>
          <w:p w14:paraId="44C6DD1F"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64</w:t>
            </w:r>
          </w:p>
        </w:tc>
        <w:tc>
          <w:tcPr>
            <w:tcW w:w="995" w:type="dxa"/>
            <w:shd w:val="clear" w:color="auto" w:fill="auto"/>
            <w:noWrap/>
            <w:vAlign w:val="bottom"/>
            <w:hideMark/>
          </w:tcPr>
          <w:p w14:paraId="1C1DD01F"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59</w:t>
            </w:r>
          </w:p>
        </w:tc>
        <w:tc>
          <w:tcPr>
            <w:tcW w:w="992" w:type="dxa"/>
            <w:shd w:val="clear" w:color="auto" w:fill="auto"/>
            <w:noWrap/>
            <w:vAlign w:val="bottom"/>
            <w:hideMark/>
          </w:tcPr>
          <w:p w14:paraId="3EC5F148"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48</w:t>
            </w:r>
          </w:p>
        </w:tc>
        <w:tc>
          <w:tcPr>
            <w:tcW w:w="992" w:type="dxa"/>
            <w:shd w:val="clear" w:color="auto" w:fill="auto"/>
            <w:noWrap/>
            <w:vAlign w:val="bottom"/>
            <w:hideMark/>
          </w:tcPr>
          <w:p w14:paraId="4AC61D9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23</w:t>
            </w:r>
          </w:p>
        </w:tc>
        <w:tc>
          <w:tcPr>
            <w:tcW w:w="992" w:type="dxa"/>
            <w:shd w:val="clear" w:color="auto" w:fill="auto"/>
            <w:noWrap/>
            <w:vAlign w:val="bottom"/>
            <w:hideMark/>
          </w:tcPr>
          <w:p w14:paraId="2D69F9CE"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29</w:t>
            </w:r>
          </w:p>
        </w:tc>
        <w:tc>
          <w:tcPr>
            <w:tcW w:w="993" w:type="dxa"/>
            <w:shd w:val="clear" w:color="000000" w:fill="FFFFFF"/>
            <w:noWrap/>
            <w:vAlign w:val="bottom"/>
            <w:hideMark/>
          </w:tcPr>
          <w:p w14:paraId="55A12668"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28</w:t>
            </w:r>
          </w:p>
        </w:tc>
        <w:tc>
          <w:tcPr>
            <w:tcW w:w="1270" w:type="dxa"/>
            <w:shd w:val="clear" w:color="auto" w:fill="auto"/>
            <w:noWrap/>
            <w:vAlign w:val="bottom"/>
            <w:hideMark/>
          </w:tcPr>
          <w:p w14:paraId="224B4411"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-139,29</w:t>
            </w:r>
          </w:p>
        </w:tc>
      </w:tr>
      <w:tr w:rsidR="002E58F4" w:rsidRPr="00521357" w14:paraId="57D09AD5" w14:textId="77777777" w:rsidTr="002E58F4">
        <w:trPr>
          <w:trHeight w:val="288"/>
        </w:trPr>
        <w:tc>
          <w:tcPr>
            <w:tcW w:w="1695" w:type="dxa"/>
            <w:shd w:val="clear" w:color="auto" w:fill="auto"/>
            <w:noWrap/>
            <w:vAlign w:val="bottom"/>
            <w:hideMark/>
          </w:tcPr>
          <w:p w14:paraId="6FAEE44F"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Panevėžys</w:t>
            </w:r>
          </w:p>
        </w:tc>
        <w:tc>
          <w:tcPr>
            <w:tcW w:w="997" w:type="dxa"/>
            <w:shd w:val="clear" w:color="auto" w:fill="auto"/>
            <w:noWrap/>
            <w:vAlign w:val="bottom"/>
            <w:hideMark/>
          </w:tcPr>
          <w:p w14:paraId="2379992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2" w:type="dxa"/>
            <w:shd w:val="clear" w:color="auto" w:fill="auto"/>
            <w:noWrap/>
            <w:vAlign w:val="bottom"/>
            <w:hideMark/>
          </w:tcPr>
          <w:p w14:paraId="0AF4F06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5" w:type="dxa"/>
            <w:shd w:val="clear" w:color="auto" w:fill="auto"/>
            <w:noWrap/>
            <w:vAlign w:val="bottom"/>
            <w:hideMark/>
          </w:tcPr>
          <w:p w14:paraId="71B6FEE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6</w:t>
            </w:r>
          </w:p>
        </w:tc>
        <w:tc>
          <w:tcPr>
            <w:tcW w:w="992" w:type="dxa"/>
            <w:shd w:val="clear" w:color="auto" w:fill="auto"/>
            <w:noWrap/>
            <w:vAlign w:val="bottom"/>
            <w:hideMark/>
          </w:tcPr>
          <w:p w14:paraId="145D9DD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17</w:t>
            </w:r>
          </w:p>
        </w:tc>
        <w:tc>
          <w:tcPr>
            <w:tcW w:w="992" w:type="dxa"/>
            <w:shd w:val="clear" w:color="auto" w:fill="auto"/>
            <w:noWrap/>
            <w:vAlign w:val="bottom"/>
            <w:hideMark/>
          </w:tcPr>
          <w:p w14:paraId="667D0450"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24</w:t>
            </w:r>
          </w:p>
        </w:tc>
        <w:tc>
          <w:tcPr>
            <w:tcW w:w="992" w:type="dxa"/>
            <w:shd w:val="clear" w:color="auto" w:fill="auto"/>
            <w:noWrap/>
            <w:vAlign w:val="bottom"/>
            <w:hideMark/>
          </w:tcPr>
          <w:p w14:paraId="651B6EA4"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10</w:t>
            </w:r>
          </w:p>
        </w:tc>
        <w:tc>
          <w:tcPr>
            <w:tcW w:w="993" w:type="dxa"/>
            <w:shd w:val="clear" w:color="000000" w:fill="FFFFFF"/>
            <w:noWrap/>
            <w:vAlign w:val="bottom"/>
            <w:hideMark/>
          </w:tcPr>
          <w:p w14:paraId="687073E6"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w:t>
            </w:r>
          </w:p>
        </w:tc>
        <w:tc>
          <w:tcPr>
            <w:tcW w:w="1270" w:type="dxa"/>
            <w:shd w:val="clear" w:color="auto" w:fill="auto"/>
            <w:noWrap/>
            <w:vAlign w:val="bottom"/>
            <w:hideMark/>
          </w:tcPr>
          <w:p w14:paraId="3D1B351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100</w:t>
            </w:r>
          </w:p>
        </w:tc>
      </w:tr>
      <w:tr w:rsidR="002E58F4" w:rsidRPr="00521357" w14:paraId="0F8C3E6A" w14:textId="77777777" w:rsidTr="002E58F4">
        <w:trPr>
          <w:trHeight w:val="288"/>
        </w:trPr>
        <w:tc>
          <w:tcPr>
            <w:tcW w:w="1695" w:type="dxa"/>
            <w:shd w:val="clear" w:color="auto" w:fill="auto"/>
            <w:noWrap/>
            <w:vAlign w:val="bottom"/>
            <w:hideMark/>
          </w:tcPr>
          <w:p w14:paraId="78D0B14C"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 xml:space="preserve">Šiauliai </w:t>
            </w:r>
          </w:p>
        </w:tc>
        <w:tc>
          <w:tcPr>
            <w:tcW w:w="997" w:type="dxa"/>
            <w:shd w:val="clear" w:color="auto" w:fill="auto"/>
            <w:noWrap/>
            <w:vAlign w:val="bottom"/>
            <w:hideMark/>
          </w:tcPr>
          <w:p w14:paraId="792E9B3B"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w:t>
            </w:r>
          </w:p>
        </w:tc>
        <w:tc>
          <w:tcPr>
            <w:tcW w:w="992" w:type="dxa"/>
            <w:shd w:val="clear" w:color="auto" w:fill="auto"/>
            <w:noWrap/>
            <w:vAlign w:val="bottom"/>
            <w:hideMark/>
          </w:tcPr>
          <w:p w14:paraId="0C06128F"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20</w:t>
            </w:r>
          </w:p>
        </w:tc>
        <w:tc>
          <w:tcPr>
            <w:tcW w:w="995" w:type="dxa"/>
            <w:shd w:val="clear" w:color="auto" w:fill="auto"/>
            <w:noWrap/>
            <w:vAlign w:val="bottom"/>
            <w:hideMark/>
          </w:tcPr>
          <w:p w14:paraId="6002AF9F"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29</w:t>
            </w:r>
          </w:p>
        </w:tc>
        <w:tc>
          <w:tcPr>
            <w:tcW w:w="992" w:type="dxa"/>
            <w:shd w:val="clear" w:color="auto" w:fill="auto"/>
            <w:noWrap/>
            <w:vAlign w:val="bottom"/>
            <w:hideMark/>
          </w:tcPr>
          <w:p w14:paraId="62183F0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42</w:t>
            </w:r>
          </w:p>
        </w:tc>
        <w:tc>
          <w:tcPr>
            <w:tcW w:w="992" w:type="dxa"/>
            <w:shd w:val="clear" w:color="auto" w:fill="auto"/>
            <w:noWrap/>
            <w:vAlign w:val="bottom"/>
            <w:hideMark/>
          </w:tcPr>
          <w:p w14:paraId="5736C85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33</w:t>
            </w:r>
          </w:p>
        </w:tc>
        <w:tc>
          <w:tcPr>
            <w:tcW w:w="992" w:type="dxa"/>
            <w:shd w:val="clear" w:color="auto" w:fill="auto"/>
            <w:noWrap/>
            <w:vAlign w:val="bottom"/>
            <w:hideMark/>
          </w:tcPr>
          <w:p w14:paraId="6BB0481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34</w:t>
            </w:r>
          </w:p>
        </w:tc>
        <w:tc>
          <w:tcPr>
            <w:tcW w:w="993" w:type="dxa"/>
            <w:shd w:val="clear" w:color="000000" w:fill="FFFFFF"/>
            <w:noWrap/>
            <w:vAlign w:val="bottom"/>
            <w:hideMark/>
          </w:tcPr>
          <w:p w14:paraId="64CA3A59"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28</w:t>
            </w:r>
          </w:p>
        </w:tc>
        <w:tc>
          <w:tcPr>
            <w:tcW w:w="1270" w:type="dxa"/>
            <w:shd w:val="clear" w:color="auto" w:fill="auto"/>
            <w:noWrap/>
            <w:vAlign w:val="bottom"/>
            <w:hideMark/>
          </w:tcPr>
          <w:p w14:paraId="3D2D57C0" w14:textId="0F9593CE"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92,8</w:t>
            </w:r>
            <w:r w:rsidRPr="00521357">
              <w:rPr>
                <w:rFonts w:eastAsia="Times New Roman" w:cs="Times New Roman"/>
                <w:color w:val="000000"/>
                <w:kern w:val="0"/>
                <w:szCs w:val="24"/>
                <w:lang w:eastAsia="lt-LT"/>
                <w14:ligatures w14:val="none"/>
              </w:rPr>
              <w:t>6</w:t>
            </w:r>
          </w:p>
        </w:tc>
      </w:tr>
      <w:tr w:rsidR="002E58F4" w:rsidRPr="00521357" w14:paraId="62A76315" w14:textId="77777777" w:rsidTr="002E58F4">
        <w:trPr>
          <w:trHeight w:val="288"/>
        </w:trPr>
        <w:tc>
          <w:tcPr>
            <w:tcW w:w="1695" w:type="dxa"/>
            <w:shd w:val="clear" w:color="auto" w:fill="auto"/>
            <w:noWrap/>
            <w:vAlign w:val="bottom"/>
            <w:hideMark/>
          </w:tcPr>
          <w:p w14:paraId="12431DEF"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 xml:space="preserve">Mažeikiai </w:t>
            </w:r>
          </w:p>
        </w:tc>
        <w:tc>
          <w:tcPr>
            <w:tcW w:w="997" w:type="dxa"/>
            <w:shd w:val="clear" w:color="auto" w:fill="auto"/>
            <w:noWrap/>
            <w:vAlign w:val="bottom"/>
            <w:hideMark/>
          </w:tcPr>
          <w:p w14:paraId="33E020DB"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14</w:t>
            </w:r>
          </w:p>
        </w:tc>
        <w:tc>
          <w:tcPr>
            <w:tcW w:w="992" w:type="dxa"/>
            <w:shd w:val="clear" w:color="auto" w:fill="auto"/>
            <w:noWrap/>
            <w:vAlign w:val="bottom"/>
            <w:hideMark/>
          </w:tcPr>
          <w:p w14:paraId="385952E4"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14</w:t>
            </w:r>
          </w:p>
        </w:tc>
        <w:tc>
          <w:tcPr>
            <w:tcW w:w="995" w:type="dxa"/>
            <w:shd w:val="clear" w:color="auto" w:fill="auto"/>
            <w:noWrap/>
            <w:vAlign w:val="bottom"/>
            <w:hideMark/>
          </w:tcPr>
          <w:p w14:paraId="55CDCCCB"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14</w:t>
            </w:r>
          </w:p>
        </w:tc>
        <w:tc>
          <w:tcPr>
            <w:tcW w:w="992" w:type="dxa"/>
            <w:shd w:val="clear" w:color="auto" w:fill="auto"/>
            <w:noWrap/>
            <w:vAlign w:val="bottom"/>
            <w:hideMark/>
          </w:tcPr>
          <w:p w14:paraId="53366B06"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14</w:t>
            </w:r>
          </w:p>
        </w:tc>
        <w:tc>
          <w:tcPr>
            <w:tcW w:w="992" w:type="dxa"/>
            <w:shd w:val="clear" w:color="auto" w:fill="auto"/>
            <w:noWrap/>
            <w:vAlign w:val="bottom"/>
            <w:hideMark/>
          </w:tcPr>
          <w:p w14:paraId="69B4B8DE"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7</w:t>
            </w:r>
          </w:p>
        </w:tc>
        <w:tc>
          <w:tcPr>
            <w:tcW w:w="992" w:type="dxa"/>
            <w:shd w:val="clear" w:color="auto" w:fill="auto"/>
            <w:noWrap/>
            <w:vAlign w:val="bottom"/>
            <w:hideMark/>
          </w:tcPr>
          <w:p w14:paraId="552507DF"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w:t>
            </w:r>
          </w:p>
        </w:tc>
        <w:tc>
          <w:tcPr>
            <w:tcW w:w="993" w:type="dxa"/>
            <w:shd w:val="clear" w:color="000000" w:fill="FFFFFF"/>
            <w:noWrap/>
            <w:vAlign w:val="bottom"/>
            <w:hideMark/>
          </w:tcPr>
          <w:p w14:paraId="08ABCD1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1270" w:type="dxa"/>
            <w:shd w:val="clear" w:color="auto" w:fill="auto"/>
            <w:noWrap/>
            <w:vAlign w:val="bottom"/>
            <w:hideMark/>
          </w:tcPr>
          <w:p w14:paraId="41E754A7"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w:t>
            </w:r>
          </w:p>
        </w:tc>
      </w:tr>
      <w:tr w:rsidR="002E58F4" w:rsidRPr="00521357" w14:paraId="5859B8EE" w14:textId="77777777" w:rsidTr="002E58F4">
        <w:trPr>
          <w:trHeight w:val="288"/>
        </w:trPr>
        <w:tc>
          <w:tcPr>
            <w:tcW w:w="1695" w:type="dxa"/>
            <w:shd w:val="clear" w:color="auto" w:fill="auto"/>
            <w:noWrap/>
            <w:vAlign w:val="bottom"/>
            <w:hideMark/>
          </w:tcPr>
          <w:p w14:paraId="4A91035B"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 xml:space="preserve">Naujoji Akmenė </w:t>
            </w:r>
          </w:p>
        </w:tc>
        <w:tc>
          <w:tcPr>
            <w:tcW w:w="997" w:type="dxa"/>
            <w:shd w:val="clear" w:color="auto" w:fill="auto"/>
            <w:noWrap/>
            <w:vAlign w:val="bottom"/>
            <w:hideMark/>
          </w:tcPr>
          <w:p w14:paraId="383A9506"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4</w:t>
            </w:r>
          </w:p>
        </w:tc>
        <w:tc>
          <w:tcPr>
            <w:tcW w:w="992" w:type="dxa"/>
            <w:shd w:val="clear" w:color="auto" w:fill="auto"/>
            <w:noWrap/>
            <w:vAlign w:val="bottom"/>
            <w:hideMark/>
          </w:tcPr>
          <w:p w14:paraId="3A73CE4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w:t>
            </w:r>
          </w:p>
        </w:tc>
        <w:tc>
          <w:tcPr>
            <w:tcW w:w="995" w:type="dxa"/>
            <w:shd w:val="clear" w:color="auto" w:fill="auto"/>
            <w:noWrap/>
            <w:vAlign w:val="bottom"/>
            <w:hideMark/>
          </w:tcPr>
          <w:p w14:paraId="07BDAED3"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2" w:type="dxa"/>
            <w:shd w:val="clear" w:color="auto" w:fill="auto"/>
            <w:noWrap/>
            <w:vAlign w:val="bottom"/>
            <w:hideMark/>
          </w:tcPr>
          <w:p w14:paraId="12E88223"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2" w:type="dxa"/>
            <w:shd w:val="clear" w:color="auto" w:fill="auto"/>
            <w:noWrap/>
            <w:vAlign w:val="bottom"/>
            <w:hideMark/>
          </w:tcPr>
          <w:p w14:paraId="7CD53601"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2" w:type="dxa"/>
            <w:shd w:val="clear" w:color="000000" w:fill="FFFFFF"/>
            <w:noWrap/>
            <w:vAlign w:val="bottom"/>
            <w:hideMark/>
          </w:tcPr>
          <w:p w14:paraId="1A85B489"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3" w:type="dxa"/>
            <w:shd w:val="clear" w:color="000000" w:fill="FFFFFF"/>
            <w:noWrap/>
            <w:vAlign w:val="bottom"/>
            <w:hideMark/>
          </w:tcPr>
          <w:p w14:paraId="166B9C1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1270" w:type="dxa"/>
            <w:shd w:val="clear" w:color="auto" w:fill="auto"/>
            <w:noWrap/>
            <w:vAlign w:val="bottom"/>
            <w:hideMark/>
          </w:tcPr>
          <w:p w14:paraId="39504AFE"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w:t>
            </w:r>
          </w:p>
        </w:tc>
      </w:tr>
      <w:tr w:rsidR="002E58F4" w:rsidRPr="00521357" w14:paraId="2FEDD530" w14:textId="77777777" w:rsidTr="002E58F4">
        <w:trPr>
          <w:trHeight w:val="288"/>
        </w:trPr>
        <w:tc>
          <w:tcPr>
            <w:tcW w:w="1695" w:type="dxa"/>
            <w:shd w:val="clear" w:color="auto" w:fill="auto"/>
            <w:noWrap/>
            <w:vAlign w:val="bottom"/>
            <w:hideMark/>
          </w:tcPr>
          <w:p w14:paraId="05186751"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lastRenderedPageBreak/>
              <w:t xml:space="preserve">Jonava </w:t>
            </w:r>
          </w:p>
        </w:tc>
        <w:tc>
          <w:tcPr>
            <w:tcW w:w="997" w:type="dxa"/>
            <w:shd w:val="clear" w:color="auto" w:fill="auto"/>
            <w:noWrap/>
            <w:vAlign w:val="bottom"/>
            <w:hideMark/>
          </w:tcPr>
          <w:p w14:paraId="144054A3"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2" w:type="dxa"/>
            <w:shd w:val="clear" w:color="auto" w:fill="auto"/>
            <w:noWrap/>
            <w:vAlign w:val="bottom"/>
            <w:hideMark/>
          </w:tcPr>
          <w:p w14:paraId="02FBAC43"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5" w:type="dxa"/>
            <w:shd w:val="clear" w:color="auto" w:fill="auto"/>
            <w:noWrap/>
            <w:vAlign w:val="bottom"/>
            <w:hideMark/>
          </w:tcPr>
          <w:p w14:paraId="0C0C3EE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2" w:type="dxa"/>
            <w:shd w:val="clear" w:color="auto" w:fill="auto"/>
            <w:noWrap/>
            <w:vAlign w:val="bottom"/>
            <w:hideMark/>
          </w:tcPr>
          <w:p w14:paraId="4CD64FCE"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w:t>
            </w:r>
          </w:p>
        </w:tc>
        <w:tc>
          <w:tcPr>
            <w:tcW w:w="992" w:type="dxa"/>
            <w:shd w:val="clear" w:color="auto" w:fill="auto"/>
            <w:noWrap/>
            <w:vAlign w:val="bottom"/>
            <w:hideMark/>
          </w:tcPr>
          <w:p w14:paraId="54C0768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5</w:t>
            </w:r>
          </w:p>
        </w:tc>
        <w:tc>
          <w:tcPr>
            <w:tcW w:w="992" w:type="dxa"/>
            <w:shd w:val="clear" w:color="000000" w:fill="FFFFFF"/>
            <w:noWrap/>
            <w:vAlign w:val="bottom"/>
            <w:hideMark/>
          </w:tcPr>
          <w:p w14:paraId="76900EC1"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993" w:type="dxa"/>
            <w:shd w:val="clear" w:color="000000" w:fill="FFFFFF"/>
            <w:noWrap/>
            <w:vAlign w:val="bottom"/>
            <w:hideMark/>
          </w:tcPr>
          <w:p w14:paraId="0F92E9AB"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1270" w:type="dxa"/>
            <w:shd w:val="clear" w:color="auto" w:fill="auto"/>
            <w:noWrap/>
            <w:vAlign w:val="bottom"/>
            <w:hideMark/>
          </w:tcPr>
          <w:p w14:paraId="121AF9CC"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w:t>
            </w:r>
          </w:p>
        </w:tc>
      </w:tr>
      <w:tr w:rsidR="002E58F4" w:rsidRPr="00521357" w14:paraId="0C85A19E" w14:textId="77777777" w:rsidTr="002E58F4">
        <w:trPr>
          <w:trHeight w:val="288"/>
        </w:trPr>
        <w:tc>
          <w:tcPr>
            <w:tcW w:w="1695" w:type="dxa"/>
            <w:shd w:val="clear" w:color="auto" w:fill="auto"/>
            <w:noWrap/>
            <w:vAlign w:val="bottom"/>
            <w:hideMark/>
          </w:tcPr>
          <w:p w14:paraId="52185041"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 xml:space="preserve">Kėdainiai </w:t>
            </w:r>
          </w:p>
        </w:tc>
        <w:tc>
          <w:tcPr>
            <w:tcW w:w="997" w:type="dxa"/>
            <w:shd w:val="clear" w:color="auto" w:fill="auto"/>
            <w:noWrap/>
            <w:vAlign w:val="bottom"/>
            <w:hideMark/>
          </w:tcPr>
          <w:p w14:paraId="09CBA1D6"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4</w:t>
            </w:r>
          </w:p>
        </w:tc>
        <w:tc>
          <w:tcPr>
            <w:tcW w:w="992" w:type="dxa"/>
            <w:shd w:val="clear" w:color="auto" w:fill="auto"/>
            <w:noWrap/>
            <w:vAlign w:val="bottom"/>
            <w:hideMark/>
          </w:tcPr>
          <w:p w14:paraId="640C4883"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5</w:t>
            </w:r>
          </w:p>
        </w:tc>
        <w:tc>
          <w:tcPr>
            <w:tcW w:w="995" w:type="dxa"/>
            <w:shd w:val="clear" w:color="auto" w:fill="auto"/>
            <w:noWrap/>
            <w:vAlign w:val="bottom"/>
            <w:hideMark/>
          </w:tcPr>
          <w:p w14:paraId="4646A52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7</w:t>
            </w:r>
          </w:p>
        </w:tc>
        <w:tc>
          <w:tcPr>
            <w:tcW w:w="992" w:type="dxa"/>
            <w:shd w:val="clear" w:color="auto" w:fill="auto"/>
            <w:noWrap/>
            <w:vAlign w:val="bottom"/>
            <w:hideMark/>
          </w:tcPr>
          <w:p w14:paraId="1F3AA1A9"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10</w:t>
            </w:r>
          </w:p>
        </w:tc>
        <w:tc>
          <w:tcPr>
            <w:tcW w:w="992" w:type="dxa"/>
            <w:shd w:val="clear" w:color="auto" w:fill="auto"/>
            <w:noWrap/>
            <w:vAlign w:val="bottom"/>
            <w:hideMark/>
          </w:tcPr>
          <w:p w14:paraId="275897B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9</w:t>
            </w:r>
          </w:p>
        </w:tc>
        <w:tc>
          <w:tcPr>
            <w:tcW w:w="992" w:type="dxa"/>
            <w:shd w:val="clear" w:color="auto" w:fill="auto"/>
            <w:noWrap/>
            <w:vAlign w:val="bottom"/>
            <w:hideMark/>
          </w:tcPr>
          <w:p w14:paraId="0CC1916A"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w:t>
            </w:r>
          </w:p>
        </w:tc>
        <w:tc>
          <w:tcPr>
            <w:tcW w:w="993" w:type="dxa"/>
            <w:shd w:val="clear" w:color="000000" w:fill="FFFFFF"/>
            <w:noWrap/>
            <w:vAlign w:val="bottom"/>
            <w:hideMark/>
          </w:tcPr>
          <w:p w14:paraId="78F456FC"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0</w:t>
            </w:r>
          </w:p>
        </w:tc>
        <w:tc>
          <w:tcPr>
            <w:tcW w:w="1270" w:type="dxa"/>
            <w:shd w:val="clear" w:color="auto" w:fill="auto"/>
            <w:noWrap/>
            <w:vAlign w:val="bottom"/>
            <w:hideMark/>
          </w:tcPr>
          <w:p w14:paraId="50BA0CB0"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w:t>
            </w:r>
          </w:p>
        </w:tc>
      </w:tr>
      <w:tr w:rsidR="002E58F4" w:rsidRPr="00521357" w14:paraId="68EDF283" w14:textId="77777777" w:rsidTr="002E58F4">
        <w:trPr>
          <w:trHeight w:val="288"/>
        </w:trPr>
        <w:tc>
          <w:tcPr>
            <w:tcW w:w="1695" w:type="dxa"/>
            <w:shd w:val="clear" w:color="auto" w:fill="auto"/>
            <w:noWrap/>
            <w:vAlign w:val="bottom"/>
            <w:hideMark/>
          </w:tcPr>
          <w:p w14:paraId="7D95F087" w14:textId="77777777" w:rsidR="00A00DC4" w:rsidRPr="00A00DC4" w:rsidRDefault="00A00DC4" w:rsidP="00A00DC4">
            <w:pPr>
              <w:spacing w:line="240" w:lineRule="auto"/>
              <w:ind w:firstLine="0"/>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Iš viso:</w:t>
            </w:r>
          </w:p>
        </w:tc>
        <w:tc>
          <w:tcPr>
            <w:tcW w:w="997" w:type="dxa"/>
            <w:shd w:val="clear" w:color="auto" w:fill="auto"/>
            <w:noWrap/>
            <w:vAlign w:val="bottom"/>
            <w:hideMark/>
          </w:tcPr>
          <w:p w14:paraId="7C396BD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301</w:t>
            </w:r>
          </w:p>
        </w:tc>
        <w:tc>
          <w:tcPr>
            <w:tcW w:w="992" w:type="dxa"/>
            <w:shd w:val="clear" w:color="auto" w:fill="auto"/>
            <w:noWrap/>
            <w:vAlign w:val="bottom"/>
            <w:hideMark/>
          </w:tcPr>
          <w:p w14:paraId="41EB2099"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309</w:t>
            </w:r>
          </w:p>
        </w:tc>
        <w:tc>
          <w:tcPr>
            <w:tcW w:w="995" w:type="dxa"/>
            <w:shd w:val="clear" w:color="auto" w:fill="auto"/>
            <w:noWrap/>
            <w:vAlign w:val="bottom"/>
            <w:hideMark/>
          </w:tcPr>
          <w:p w14:paraId="744E7368"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317</w:t>
            </w:r>
          </w:p>
        </w:tc>
        <w:tc>
          <w:tcPr>
            <w:tcW w:w="992" w:type="dxa"/>
            <w:shd w:val="clear" w:color="auto" w:fill="auto"/>
            <w:noWrap/>
            <w:vAlign w:val="bottom"/>
            <w:hideMark/>
          </w:tcPr>
          <w:p w14:paraId="00AE5738"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315</w:t>
            </w:r>
          </w:p>
        </w:tc>
        <w:tc>
          <w:tcPr>
            <w:tcW w:w="992" w:type="dxa"/>
            <w:shd w:val="clear" w:color="auto" w:fill="auto"/>
            <w:noWrap/>
            <w:vAlign w:val="bottom"/>
            <w:hideMark/>
          </w:tcPr>
          <w:p w14:paraId="3B54AB54"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269</w:t>
            </w:r>
          </w:p>
        </w:tc>
        <w:tc>
          <w:tcPr>
            <w:tcW w:w="992" w:type="dxa"/>
            <w:shd w:val="clear" w:color="auto" w:fill="auto"/>
            <w:noWrap/>
            <w:vAlign w:val="bottom"/>
            <w:hideMark/>
          </w:tcPr>
          <w:p w14:paraId="3A3D80E5"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199</w:t>
            </w:r>
          </w:p>
        </w:tc>
        <w:tc>
          <w:tcPr>
            <w:tcW w:w="993" w:type="dxa"/>
            <w:shd w:val="clear" w:color="auto" w:fill="auto"/>
            <w:noWrap/>
            <w:vAlign w:val="bottom"/>
            <w:hideMark/>
          </w:tcPr>
          <w:p w14:paraId="6486AC27"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126</w:t>
            </w:r>
          </w:p>
        </w:tc>
        <w:tc>
          <w:tcPr>
            <w:tcW w:w="1270" w:type="dxa"/>
            <w:shd w:val="clear" w:color="auto" w:fill="auto"/>
            <w:noWrap/>
            <w:vAlign w:val="bottom"/>
            <w:hideMark/>
          </w:tcPr>
          <w:p w14:paraId="1D8741A4" w14:textId="77777777" w:rsidR="00A00DC4" w:rsidRPr="00A00DC4" w:rsidRDefault="00A00DC4" w:rsidP="00A00DC4">
            <w:pPr>
              <w:spacing w:line="240" w:lineRule="auto"/>
              <w:ind w:firstLine="0"/>
              <w:jc w:val="right"/>
              <w:rPr>
                <w:rFonts w:eastAsia="Times New Roman" w:cs="Times New Roman"/>
                <w:color w:val="000000"/>
                <w:kern w:val="0"/>
                <w:szCs w:val="24"/>
                <w:lang w:eastAsia="lt-LT"/>
                <w14:ligatures w14:val="none"/>
              </w:rPr>
            </w:pPr>
            <w:r w:rsidRPr="00A00DC4">
              <w:rPr>
                <w:rFonts w:eastAsia="Times New Roman" w:cs="Times New Roman"/>
                <w:color w:val="000000"/>
                <w:kern w:val="0"/>
                <w:szCs w:val="24"/>
                <w:lang w:eastAsia="lt-LT"/>
                <w14:ligatures w14:val="none"/>
              </w:rPr>
              <w:t>-138,89</w:t>
            </w:r>
          </w:p>
        </w:tc>
      </w:tr>
    </w:tbl>
    <w:p w14:paraId="20E08C1F" w14:textId="77777777" w:rsidR="002E5A39" w:rsidRPr="00521357" w:rsidRDefault="002E5A39" w:rsidP="0064078E">
      <w:pPr>
        <w:ind w:firstLine="0"/>
        <w:jc w:val="both"/>
        <w:rPr>
          <w:rFonts w:cs="Times New Roman"/>
          <w:b/>
          <w:szCs w:val="24"/>
        </w:rPr>
      </w:pPr>
    </w:p>
    <w:p w14:paraId="070F03B9" w14:textId="556EDD7C" w:rsidR="00C412F6" w:rsidRPr="00521357" w:rsidRDefault="00C412F6" w:rsidP="00C412F6">
      <w:pPr>
        <w:jc w:val="both"/>
        <w:rPr>
          <w:rFonts w:cs="Times New Roman"/>
          <w:szCs w:val="24"/>
        </w:rPr>
      </w:pPr>
      <w:r w:rsidRPr="00521357">
        <w:rPr>
          <w:rFonts w:cs="Times New Roman"/>
          <w:szCs w:val="24"/>
        </w:rPr>
        <w:t>Analizuojant 2 lentelės duomenis, matyti, kai skaičiavimuose taikomas ribinis arba poveikio neturintis lygis (C</w:t>
      </w:r>
      <w:r w:rsidRPr="00521357">
        <w:rPr>
          <w:rFonts w:cs="Times New Roman"/>
          <w:szCs w:val="24"/>
          <w:vertAlign w:val="subscript"/>
        </w:rPr>
        <w:t>0</w:t>
      </w:r>
      <w:r w:rsidRPr="00521357">
        <w:rPr>
          <w:rFonts w:cs="Times New Roman"/>
          <w:szCs w:val="24"/>
        </w:rPr>
        <w:t xml:space="preserve">), lygus 5 </w:t>
      </w:r>
      <w:proofErr w:type="spellStart"/>
      <w:r w:rsidRPr="00521357">
        <w:rPr>
          <w:rFonts w:cs="Times New Roman"/>
          <w:szCs w:val="24"/>
        </w:rPr>
        <w:t>μg</w:t>
      </w:r>
      <w:proofErr w:type="spellEnd"/>
      <w:r w:rsidRPr="00521357">
        <w:rPr>
          <w:rFonts w:cs="Times New Roman"/>
          <w:szCs w:val="24"/>
        </w:rPr>
        <w:t>/m</w:t>
      </w:r>
      <w:r w:rsidRPr="00521357">
        <w:rPr>
          <w:rFonts w:cs="Times New Roman"/>
          <w:szCs w:val="24"/>
          <w:vertAlign w:val="superscript"/>
        </w:rPr>
        <w:t>3</w:t>
      </w:r>
      <w:r w:rsidRPr="00521357">
        <w:rPr>
          <w:rFonts w:cs="Times New Roman"/>
          <w:szCs w:val="24"/>
        </w:rPr>
        <w:t>, 2021</w:t>
      </w:r>
      <w:r w:rsidR="002E58F4">
        <w:rPr>
          <w:rFonts w:cs="Times New Roman"/>
          <w:iCs/>
          <w:szCs w:val="24"/>
        </w:rPr>
        <w:t>–</w:t>
      </w:r>
      <w:r w:rsidRPr="00521357">
        <w:rPr>
          <w:rFonts w:cs="Times New Roman"/>
          <w:szCs w:val="24"/>
        </w:rPr>
        <w:t>2023 m.  periodą palyginti su 2015</w:t>
      </w:r>
      <w:r w:rsidR="002E58F4">
        <w:rPr>
          <w:rFonts w:cs="Times New Roman"/>
          <w:iCs/>
          <w:szCs w:val="24"/>
        </w:rPr>
        <w:t>–</w:t>
      </w:r>
      <w:r w:rsidRPr="00521357">
        <w:rPr>
          <w:rFonts w:cs="Times New Roman"/>
          <w:szCs w:val="24"/>
        </w:rPr>
        <w:t>2017 m. periodu,  bendras priešlaikinių mirčių dėl ilgalaikio KD2,5 poveikio skaičius, sumažėjo 12,9 proc. 2021</w:t>
      </w:r>
      <w:r w:rsidR="002E58F4">
        <w:rPr>
          <w:rFonts w:cs="Times New Roman"/>
          <w:iCs/>
          <w:szCs w:val="24"/>
        </w:rPr>
        <w:t>–</w:t>
      </w:r>
      <w:r w:rsidRPr="00521357">
        <w:rPr>
          <w:rFonts w:cs="Times New Roman"/>
          <w:szCs w:val="24"/>
        </w:rPr>
        <w:t>2023</w:t>
      </w:r>
      <w:r w:rsidR="000E282C">
        <w:rPr>
          <w:rFonts w:cs="Times New Roman"/>
          <w:szCs w:val="24"/>
        </w:rPr>
        <w:t> </w:t>
      </w:r>
      <w:r w:rsidRPr="00521357">
        <w:rPr>
          <w:rFonts w:cs="Times New Roman"/>
          <w:szCs w:val="24"/>
        </w:rPr>
        <w:t>m.  periodą palyginti su 2015</w:t>
      </w:r>
      <w:r w:rsidR="002E58F4">
        <w:rPr>
          <w:rFonts w:cs="Times New Roman"/>
          <w:iCs/>
          <w:szCs w:val="24"/>
        </w:rPr>
        <w:t>–</w:t>
      </w:r>
      <w:r w:rsidRPr="00521357">
        <w:rPr>
          <w:rFonts w:cs="Times New Roman"/>
          <w:szCs w:val="24"/>
        </w:rPr>
        <w:t>2017 m. periodu, labiausiai priešlaikinių mirčių mažėjo Naujoje Akmenėje (69 proc.), Mažeikiuose (46 proc.), labiausiai padidėjojo Jonavoje (60 proc.), Šiauliuose (57 proc.), Panevėžyje (48 proc.).</w:t>
      </w:r>
    </w:p>
    <w:p w14:paraId="5F59C79D" w14:textId="77777777" w:rsidR="00C412F6" w:rsidRPr="00521357" w:rsidRDefault="00C412F6" w:rsidP="0064078E">
      <w:pPr>
        <w:ind w:firstLine="0"/>
        <w:jc w:val="both"/>
        <w:rPr>
          <w:rFonts w:cs="Times New Roman"/>
          <w:b/>
          <w:szCs w:val="24"/>
        </w:rPr>
      </w:pPr>
    </w:p>
    <w:p w14:paraId="00C7AB9B" w14:textId="77777777" w:rsidR="00C412F6" w:rsidRPr="00521357" w:rsidRDefault="00C412F6" w:rsidP="0064078E">
      <w:pPr>
        <w:ind w:firstLine="0"/>
        <w:jc w:val="both"/>
        <w:rPr>
          <w:rFonts w:cs="Times New Roman"/>
          <w:b/>
          <w:szCs w:val="24"/>
        </w:rPr>
      </w:pPr>
    </w:p>
    <w:p w14:paraId="469A552C" w14:textId="7B9C7CA4" w:rsidR="0064078E" w:rsidRPr="00521357" w:rsidRDefault="00FB4C6C" w:rsidP="0064078E">
      <w:pPr>
        <w:ind w:firstLine="0"/>
        <w:jc w:val="both"/>
        <w:rPr>
          <w:rFonts w:cs="Times New Roman"/>
          <w:b/>
          <w:szCs w:val="24"/>
        </w:rPr>
      </w:pPr>
      <w:r w:rsidRPr="00521357">
        <w:rPr>
          <w:rFonts w:cs="Times New Roman"/>
          <w:b/>
          <w:szCs w:val="24"/>
        </w:rPr>
        <w:t>2</w:t>
      </w:r>
      <w:r w:rsidR="0064078E" w:rsidRPr="00521357">
        <w:rPr>
          <w:rFonts w:cs="Times New Roman"/>
          <w:b/>
          <w:szCs w:val="24"/>
        </w:rPr>
        <w:t xml:space="preserve"> lentelė. Gyventojų (amžiaus grupė +30) priešlaikinių mirčių, priskirtinų ilgalaikiam kietųjų dalelių (KD2,5) poveikiui, skaičius vidutiniškai per metus  miestuose 2015</w:t>
      </w:r>
      <w:r w:rsidR="002E58F4">
        <w:rPr>
          <w:rFonts w:cs="Times New Roman"/>
          <w:iCs/>
          <w:szCs w:val="24"/>
        </w:rPr>
        <w:t>–</w:t>
      </w:r>
      <w:r w:rsidR="0064078E" w:rsidRPr="00521357">
        <w:rPr>
          <w:rFonts w:cs="Times New Roman"/>
          <w:b/>
          <w:szCs w:val="24"/>
        </w:rPr>
        <w:t>202</w:t>
      </w:r>
      <w:r w:rsidRPr="00521357">
        <w:rPr>
          <w:rFonts w:cs="Times New Roman"/>
          <w:b/>
          <w:szCs w:val="24"/>
        </w:rPr>
        <w:t xml:space="preserve">3 </w:t>
      </w:r>
      <w:r w:rsidR="0064078E" w:rsidRPr="00521357">
        <w:rPr>
          <w:rFonts w:cs="Times New Roman"/>
          <w:b/>
          <w:szCs w:val="24"/>
        </w:rPr>
        <w:t>m. laikotarpiu, kai  C</w:t>
      </w:r>
      <w:r w:rsidR="0064078E" w:rsidRPr="00521357">
        <w:rPr>
          <w:rFonts w:cs="Times New Roman"/>
          <w:b/>
          <w:szCs w:val="24"/>
          <w:vertAlign w:val="subscript"/>
        </w:rPr>
        <w:t>0</w:t>
      </w:r>
      <w:r w:rsidR="0064078E" w:rsidRPr="00521357">
        <w:rPr>
          <w:rFonts w:cs="Times New Roman"/>
          <w:b/>
          <w:szCs w:val="24"/>
        </w:rPr>
        <w:t xml:space="preserve"> = 5 μg/m</w:t>
      </w:r>
      <w:r w:rsidR="0064078E" w:rsidRPr="00521357">
        <w:rPr>
          <w:rFonts w:cs="Times New Roman"/>
          <w:b/>
          <w:szCs w:val="24"/>
          <w:vertAlign w:val="superscript"/>
        </w:rPr>
        <w:t>3</w:t>
      </w:r>
      <w:r w:rsidR="0064078E" w:rsidRPr="00521357">
        <w:rPr>
          <w:rFonts w:cs="Times New Roman"/>
          <w:b/>
          <w:szCs w:val="24"/>
        </w:rPr>
        <w:t xml:space="preserve"> )</w:t>
      </w:r>
    </w:p>
    <w:p w14:paraId="29C26196" w14:textId="77777777" w:rsidR="0064078E" w:rsidRPr="00521357" w:rsidRDefault="0064078E" w:rsidP="0064078E">
      <w:pPr>
        <w:pStyle w:val="Antrat"/>
        <w:keepNext/>
        <w:spacing w:after="0"/>
        <w:jc w:val="both"/>
        <w:rPr>
          <w:rFonts w:cs="Times New Roman"/>
          <w:b/>
          <w:i w:val="0"/>
          <w:iCs w:val="0"/>
          <w:color w:val="auto"/>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054"/>
        <w:gridCol w:w="926"/>
        <w:gridCol w:w="1134"/>
        <w:gridCol w:w="992"/>
        <w:gridCol w:w="992"/>
        <w:gridCol w:w="851"/>
        <w:gridCol w:w="1003"/>
        <w:gridCol w:w="1137"/>
      </w:tblGrid>
      <w:tr w:rsidR="00C412F6" w:rsidRPr="00521357" w14:paraId="668F1754" w14:textId="77777777" w:rsidTr="000E282C">
        <w:trPr>
          <w:trHeight w:val="576"/>
        </w:trPr>
        <w:tc>
          <w:tcPr>
            <w:tcW w:w="1843" w:type="dxa"/>
            <w:shd w:val="clear" w:color="auto" w:fill="auto"/>
            <w:noWrap/>
            <w:vAlign w:val="bottom"/>
            <w:hideMark/>
          </w:tcPr>
          <w:p w14:paraId="3FCED820"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Miestas/periodas </w:t>
            </w:r>
          </w:p>
        </w:tc>
        <w:tc>
          <w:tcPr>
            <w:tcW w:w="1054" w:type="dxa"/>
            <w:shd w:val="clear" w:color="auto" w:fill="auto"/>
            <w:noWrap/>
            <w:vAlign w:val="bottom"/>
            <w:hideMark/>
          </w:tcPr>
          <w:p w14:paraId="7D4612BF"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2015–2017</w:t>
            </w:r>
          </w:p>
        </w:tc>
        <w:tc>
          <w:tcPr>
            <w:tcW w:w="926" w:type="dxa"/>
            <w:shd w:val="clear" w:color="auto" w:fill="auto"/>
            <w:noWrap/>
            <w:vAlign w:val="bottom"/>
            <w:hideMark/>
          </w:tcPr>
          <w:p w14:paraId="044A2266"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2016–2018</w:t>
            </w:r>
          </w:p>
        </w:tc>
        <w:tc>
          <w:tcPr>
            <w:tcW w:w="1134" w:type="dxa"/>
            <w:shd w:val="clear" w:color="auto" w:fill="auto"/>
            <w:noWrap/>
            <w:vAlign w:val="bottom"/>
            <w:hideMark/>
          </w:tcPr>
          <w:p w14:paraId="2B166405"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2017–2019</w:t>
            </w:r>
          </w:p>
        </w:tc>
        <w:tc>
          <w:tcPr>
            <w:tcW w:w="992" w:type="dxa"/>
            <w:shd w:val="clear" w:color="auto" w:fill="auto"/>
            <w:noWrap/>
            <w:vAlign w:val="bottom"/>
            <w:hideMark/>
          </w:tcPr>
          <w:p w14:paraId="1507D9CD"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2018–2020</w:t>
            </w:r>
          </w:p>
        </w:tc>
        <w:tc>
          <w:tcPr>
            <w:tcW w:w="992" w:type="dxa"/>
            <w:shd w:val="clear" w:color="auto" w:fill="auto"/>
            <w:noWrap/>
            <w:vAlign w:val="bottom"/>
            <w:hideMark/>
          </w:tcPr>
          <w:p w14:paraId="693B59F9"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2019–2021</w:t>
            </w:r>
          </w:p>
        </w:tc>
        <w:tc>
          <w:tcPr>
            <w:tcW w:w="851" w:type="dxa"/>
            <w:shd w:val="clear" w:color="auto" w:fill="auto"/>
            <w:noWrap/>
            <w:vAlign w:val="bottom"/>
            <w:hideMark/>
          </w:tcPr>
          <w:p w14:paraId="24F790C2" w14:textId="263A5FC0"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2020</w:t>
            </w:r>
            <w:r w:rsidR="002E58F4">
              <w:rPr>
                <w:rFonts w:cs="Times New Roman"/>
                <w:iCs/>
                <w:szCs w:val="24"/>
              </w:rPr>
              <w:t>–</w:t>
            </w:r>
            <w:r w:rsidRPr="00C412F6">
              <w:rPr>
                <w:rFonts w:eastAsia="Times New Roman" w:cs="Times New Roman"/>
                <w:color w:val="000000"/>
                <w:kern w:val="0"/>
                <w:szCs w:val="24"/>
                <w:lang w:eastAsia="lt-LT"/>
                <w14:ligatures w14:val="none"/>
              </w:rPr>
              <w:t>2022</w:t>
            </w:r>
          </w:p>
        </w:tc>
        <w:tc>
          <w:tcPr>
            <w:tcW w:w="1003" w:type="dxa"/>
            <w:shd w:val="clear" w:color="auto" w:fill="auto"/>
            <w:noWrap/>
            <w:vAlign w:val="bottom"/>
            <w:hideMark/>
          </w:tcPr>
          <w:p w14:paraId="48791A26" w14:textId="50C20269"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2021</w:t>
            </w:r>
            <w:r w:rsidR="000E282C">
              <w:rPr>
                <w:rFonts w:cs="Times New Roman"/>
                <w:iCs/>
                <w:szCs w:val="24"/>
              </w:rPr>
              <w:t>–</w:t>
            </w:r>
            <w:r w:rsidRPr="00C412F6">
              <w:rPr>
                <w:rFonts w:eastAsia="Times New Roman" w:cs="Times New Roman"/>
                <w:color w:val="000000"/>
                <w:kern w:val="0"/>
                <w:szCs w:val="24"/>
                <w:lang w:eastAsia="lt-LT"/>
                <w14:ligatures w14:val="none"/>
              </w:rPr>
              <w:t>2023</w:t>
            </w:r>
          </w:p>
        </w:tc>
        <w:tc>
          <w:tcPr>
            <w:tcW w:w="1137" w:type="dxa"/>
            <w:shd w:val="clear" w:color="auto" w:fill="auto"/>
            <w:vAlign w:val="bottom"/>
            <w:hideMark/>
          </w:tcPr>
          <w:p w14:paraId="68ECFC11"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Pokytis%</w:t>
            </w:r>
          </w:p>
        </w:tc>
      </w:tr>
      <w:tr w:rsidR="00C412F6" w:rsidRPr="00521357" w14:paraId="6D417F89" w14:textId="77777777" w:rsidTr="000E282C">
        <w:trPr>
          <w:trHeight w:val="288"/>
        </w:trPr>
        <w:tc>
          <w:tcPr>
            <w:tcW w:w="1843" w:type="dxa"/>
            <w:shd w:val="clear" w:color="auto" w:fill="auto"/>
            <w:noWrap/>
            <w:vAlign w:val="bottom"/>
            <w:hideMark/>
          </w:tcPr>
          <w:p w14:paraId="1A7ED4B9"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Vilnius </w:t>
            </w:r>
          </w:p>
        </w:tc>
        <w:tc>
          <w:tcPr>
            <w:tcW w:w="1054" w:type="dxa"/>
            <w:shd w:val="clear" w:color="auto" w:fill="auto"/>
            <w:noWrap/>
            <w:vAlign w:val="bottom"/>
            <w:hideMark/>
          </w:tcPr>
          <w:p w14:paraId="0EB38391"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375</w:t>
            </w:r>
          </w:p>
        </w:tc>
        <w:tc>
          <w:tcPr>
            <w:tcW w:w="926" w:type="dxa"/>
            <w:shd w:val="clear" w:color="auto" w:fill="auto"/>
            <w:noWrap/>
            <w:vAlign w:val="bottom"/>
            <w:hideMark/>
          </w:tcPr>
          <w:p w14:paraId="17CB1AA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358</w:t>
            </w:r>
          </w:p>
        </w:tc>
        <w:tc>
          <w:tcPr>
            <w:tcW w:w="1134" w:type="dxa"/>
            <w:shd w:val="clear" w:color="auto" w:fill="auto"/>
            <w:noWrap/>
            <w:vAlign w:val="bottom"/>
            <w:hideMark/>
          </w:tcPr>
          <w:p w14:paraId="65CA75B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326</w:t>
            </w:r>
          </w:p>
        </w:tc>
        <w:tc>
          <w:tcPr>
            <w:tcW w:w="992" w:type="dxa"/>
            <w:shd w:val="clear" w:color="auto" w:fill="auto"/>
            <w:noWrap/>
            <w:vAlign w:val="bottom"/>
            <w:hideMark/>
          </w:tcPr>
          <w:p w14:paraId="23131A1E"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316</w:t>
            </w:r>
          </w:p>
        </w:tc>
        <w:tc>
          <w:tcPr>
            <w:tcW w:w="992" w:type="dxa"/>
            <w:shd w:val="clear" w:color="auto" w:fill="auto"/>
            <w:noWrap/>
            <w:vAlign w:val="bottom"/>
            <w:hideMark/>
          </w:tcPr>
          <w:p w14:paraId="2EDDB78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333</w:t>
            </w:r>
          </w:p>
        </w:tc>
        <w:tc>
          <w:tcPr>
            <w:tcW w:w="851" w:type="dxa"/>
            <w:shd w:val="clear" w:color="auto" w:fill="auto"/>
            <w:noWrap/>
            <w:vAlign w:val="bottom"/>
            <w:hideMark/>
          </w:tcPr>
          <w:p w14:paraId="0AD7A771"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344</w:t>
            </w:r>
          </w:p>
        </w:tc>
        <w:tc>
          <w:tcPr>
            <w:tcW w:w="1003" w:type="dxa"/>
            <w:shd w:val="clear" w:color="auto" w:fill="auto"/>
            <w:noWrap/>
            <w:vAlign w:val="bottom"/>
            <w:hideMark/>
          </w:tcPr>
          <w:p w14:paraId="0E3F6043"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293</w:t>
            </w:r>
          </w:p>
        </w:tc>
        <w:tc>
          <w:tcPr>
            <w:tcW w:w="1137" w:type="dxa"/>
            <w:shd w:val="clear" w:color="auto" w:fill="auto"/>
            <w:noWrap/>
            <w:vAlign w:val="bottom"/>
            <w:hideMark/>
          </w:tcPr>
          <w:p w14:paraId="305CA56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-21,87</w:t>
            </w:r>
          </w:p>
        </w:tc>
      </w:tr>
      <w:tr w:rsidR="00C412F6" w:rsidRPr="00521357" w14:paraId="44BA09FB" w14:textId="77777777" w:rsidTr="000E282C">
        <w:trPr>
          <w:trHeight w:val="288"/>
        </w:trPr>
        <w:tc>
          <w:tcPr>
            <w:tcW w:w="1843" w:type="dxa"/>
            <w:shd w:val="clear" w:color="auto" w:fill="auto"/>
            <w:noWrap/>
            <w:vAlign w:val="bottom"/>
            <w:hideMark/>
          </w:tcPr>
          <w:p w14:paraId="04C689EF"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Kaunas</w:t>
            </w:r>
          </w:p>
        </w:tc>
        <w:tc>
          <w:tcPr>
            <w:tcW w:w="1054" w:type="dxa"/>
            <w:shd w:val="clear" w:color="auto" w:fill="auto"/>
            <w:noWrap/>
            <w:vAlign w:val="bottom"/>
            <w:hideMark/>
          </w:tcPr>
          <w:p w14:paraId="4FA63D50"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170</w:t>
            </w:r>
          </w:p>
        </w:tc>
        <w:tc>
          <w:tcPr>
            <w:tcW w:w="926" w:type="dxa"/>
            <w:shd w:val="clear" w:color="auto" w:fill="auto"/>
            <w:noWrap/>
            <w:vAlign w:val="bottom"/>
            <w:hideMark/>
          </w:tcPr>
          <w:p w14:paraId="378AF556"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180</w:t>
            </w:r>
          </w:p>
        </w:tc>
        <w:tc>
          <w:tcPr>
            <w:tcW w:w="1134" w:type="dxa"/>
            <w:shd w:val="clear" w:color="auto" w:fill="auto"/>
            <w:noWrap/>
            <w:vAlign w:val="bottom"/>
            <w:hideMark/>
          </w:tcPr>
          <w:p w14:paraId="68F2C4D3"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202</w:t>
            </w:r>
          </w:p>
        </w:tc>
        <w:tc>
          <w:tcPr>
            <w:tcW w:w="992" w:type="dxa"/>
            <w:shd w:val="clear" w:color="auto" w:fill="auto"/>
            <w:noWrap/>
            <w:vAlign w:val="bottom"/>
            <w:hideMark/>
          </w:tcPr>
          <w:p w14:paraId="4475B1A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206</w:t>
            </w:r>
          </w:p>
        </w:tc>
        <w:tc>
          <w:tcPr>
            <w:tcW w:w="992" w:type="dxa"/>
            <w:shd w:val="clear" w:color="auto" w:fill="auto"/>
            <w:noWrap/>
            <w:vAlign w:val="bottom"/>
            <w:hideMark/>
          </w:tcPr>
          <w:p w14:paraId="722D868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203</w:t>
            </w:r>
          </w:p>
        </w:tc>
        <w:tc>
          <w:tcPr>
            <w:tcW w:w="851" w:type="dxa"/>
            <w:shd w:val="clear" w:color="auto" w:fill="auto"/>
            <w:noWrap/>
            <w:vAlign w:val="bottom"/>
            <w:hideMark/>
          </w:tcPr>
          <w:p w14:paraId="578E8C4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170</w:t>
            </w:r>
          </w:p>
        </w:tc>
        <w:tc>
          <w:tcPr>
            <w:tcW w:w="1003" w:type="dxa"/>
            <w:shd w:val="clear" w:color="auto" w:fill="auto"/>
            <w:noWrap/>
            <w:vAlign w:val="bottom"/>
            <w:hideMark/>
          </w:tcPr>
          <w:p w14:paraId="12A7A834"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141</w:t>
            </w:r>
          </w:p>
        </w:tc>
        <w:tc>
          <w:tcPr>
            <w:tcW w:w="1137" w:type="dxa"/>
            <w:shd w:val="clear" w:color="auto" w:fill="auto"/>
            <w:noWrap/>
            <w:vAlign w:val="bottom"/>
            <w:hideMark/>
          </w:tcPr>
          <w:p w14:paraId="44EC9FC4"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-17,06</w:t>
            </w:r>
          </w:p>
        </w:tc>
      </w:tr>
      <w:tr w:rsidR="00C412F6" w:rsidRPr="00521357" w14:paraId="75F8CA51" w14:textId="77777777" w:rsidTr="000E282C">
        <w:trPr>
          <w:trHeight w:val="288"/>
        </w:trPr>
        <w:tc>
          <w:tcPr>
            <w:tcW w:w="1843" w:type="dxa"/>
            <w:shd w:val="clear" w:color="auto" w:fill="auto"/>
            <w:noWrap/>
            <w:vAlign w:val="bottom"/>
            <w:hideMark/>
          </w:tcPr>
          <w:p w14:paraId="301DAB9D"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Klaipėda</w:t>
            </w:r>
          </w:p>
        </w:tc>
        <w:tc>
          <w:tcPr>
            <w:tcW w:w="1054" w:type="dxa"/>
            <w:shd w:val="clear" w:color="auto" w:fill="auto"/>
            <w:noWrap/>
            <w:vAlign w:val="bottom"/>
            <w:hideMark/>
          </w:tcPr>
          <w:p w14:paraId="7D4D802C"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138</w:t>
            </w:r>
          </w:p>
        </w:tc>
        <w:tc>
          <w:tcPr>
            <w:tcW w:w="926" w:type="dxa"/>
            <w:shd w:val="clear" w:color="auto" w:fill="auto"/>
            <w:noWrap/>
            <w:vAlign w:val="bottom"/>
            <w:hideMark/>
          </w:tcPr>
          <w:p w14:paraId="213B0588"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132</w:t>
            </w:r>
          </w:p>
        </w:tc>
        <w:tc>
          <w:tcPr>
            <w:tcW w:w="1134" w:type="dxa"/>
            <w:shd w:val="clear" w:color="auto" w:fill="auto"/>
            <w:noWrap/>
            <w:vAlign w:val="bottom"/>
            <w:hideMark/>
          </w:tcPr>
          <w:p w14:paraId="704FFB7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127</w:t>
            </w:r>
          </w:p>
        </w:tc>
        <w:tc>
          <w:tcPr>
            <w:tcW w:w="992" w:type="dxa"/>
            <w:shd w:val="clear" w:color="auto" w:fill="auto"/>
            <w:noWrap/>
            <w:vAlign w:val="bottom"/>
            <w:hideMark/>
          </w:tcPr>
          <w:p w14:paraId="476EBB87"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120</w:t>
            </w:r>
          </w:p>
        </w:tc>
        <w:tc>
          <w:tcPr>
            <w:tcW w:w="992" w:type="dxa"/>
            <w:shd w:val="clear" w:color="auto" w:fill="auto"/>
            <w:noWrap/>
            <w:vAlign w:val="bottom"/>
            <w:hideMark/>
          </w:tcPr>
          <w:p w14:paraId="7E1D05FA"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103</w:t>
            </w:r>
          </w:p>
        </w:tc>
        <w:tc>
          <w:tcPr>
            <w:tcW w:w="851" w:type="dxa"/>
            <w:shd w:val="clear" w:color="auto" w:fill="auto"/>
            <w:noWrap/>
            <w:vAlign w:val="bottom"/>
            <w:hideMark/>
          </w:tcPr>
          <w:p w14:paraId="3A7B4327"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112</w:t>
            </w:r>
          </w:p>
        </w:tc>
        <w:tc>
          <w:tcPr>
            <w:tcW w:w="1003" w:type="dxa"/>
            <w:shd w:val="clear" w:color="auto" w:fill="auto"/>
            <w:noWrap/>
            <w:vAlign w:val="bottom"/>
            <w:hideMark/>
          </w:tcPr>
          <w:p w14:paraId="25CC086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107</w:t>
            </w:r>
          </w:p>
        </w:tc>
        <w:tc>
          <w:tcPr>
            <w:tcW w:w="1137" w:type="dxa"/>
            <w:shd w:val="clear" w:color="auto" w:fill="auto"/>
            <w:noWrap/>
            <w:vAlign w:val="bottom"/>
            <w:hideMark/>
          </w:tcPr>
          <w:p w14:paraId="1F6B646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-22,46</w:t>
            </w:r>
          </w:p>
        </w:tc>
      </w:tr>
      <w:tr w:rsidR="00C412F6" w:rsidRPr="00521357" w14:paraId="77203F5D" w14:textId="77777777" w:rsidTr="000E282C">
        <w:trPr>
          <w:trHeight w:val="288"/>
        </w:trPr>
        <w:tc>
          <w:tcPr>
            <w:tcW w:w="1843" w:type="dxa"/>
            <w:shd w:val="clear" w:color="auto" w:fill="auto"/>
            <w:noWrap/>
            <w:vAlign w:val="bottom"/>
            <w:hideMark/>
          </w:tcPr>
          <w:p w14:paraId="64767704"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Panevėžys</w:t>
            </w:r>
          </w:p>
        </w:tc>
        <w:tc>
          <w:tcPr>
            <w:tcW w:w="1054" w:type="dxa"/>
            <w:shd w:val="clear" w:color="auto" w:fill="auto"/>
            <w:noWrap/>
            <w:vAlign w:val="bottom"/>
            <w:hideMark/>
          </w:tcPr>
          <w:p w14:paraId="2FC0BC61"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33</w:t>
            </w:r>
          </w:p>
        </w:tc>
        <w:tc>
          <w:tcPr>
            <w:tcW w:w="926" w:type="dxa"/>
            <w:shd w:val="clear" w:color="auto" w:fill="auto"/>
            <w:noWrap/>
            <w:vAlign w:val="bottom"/>
            <w:hideMark/>
          </w:tcPr>
          <w:p w14:paraId="1007AC9C"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35</w:t>
            </w:r>
          </w:p>
        </w:tc>
        <w:tc>
          <w:tcPr>
            <w:tcW w:w="1134" w:type="dxa"/>
            <w:shd w:val="clear" w:color="auto" w:fill="auto"/>
            <w:noWrap/>
            <w:vAlign w:val="bottom"/>
            <w:hideMark/>
          </w:tcPr>
          <w:p w14:paraId="1175883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48</w:t>
            </w:r>
          </w:p>
        </w:tc>
        <w:tc>
          <w:tcPr>
            <w:tcW w:w="992" w:type="dxa"/>
            <w:shd w:val="clear" w:color="auto" w:fill="auto"/>
            <w:noWrap/>
            <w:vAlign w:val="bottom"/>
            <w:hideMark/>
          </w:tcPr>
          <w:p w14:paraId="64F7212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60</w:t>
            </w:r>
          </w:p>
        </w:tc>
        <w:tc>
          <w:tcPr>
            <w:tcW w:w="992" w:type="dxa"/>
            <w:shd w:val="clear" w:color="auto" w:fill="auto"/>
            <w:noWrap/>
            <w:vAlign w:val="bottom"/>
            <w:hideMark/>
          </w:tcPr>
          <w:p w14:paraId="77C0F04C"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71</w:t>
            </w:r>
          </w:p>
        </w:tc>
        <w:tc>
          <w:tcPr>
            <w:tcW w:w="851" w:type="dxa"/>
            <w:shd w:val="clear" w:color="auto" w:fill="auto"/>
            <w:noWrap/>
            <w:vAlign w:val="bottom"/>
            <w:hideMark/>
          </w:tcPr>
          <w:p w14:paraId="3FCF86D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60</w:t>
            </w:r>
          </w:p>
        </w:tc>
        <w:tc>
          <w:tcPr>
            <w:tcW w:w="1003" w:type="dxa"/>
            <w:shd w:val="clear" w:color="auto" w:fill="auto"/>
            <w:noWrap/>
            <w:vAlign w:val="bottom"/>
            <w:hideMark/>
          </w:tcPr>
          <w:p w14:paraId="17751AC3"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49</w:t>
            </w:r>
          </w:p>
        </w:tc>
        <w:tc>
          <w:tcPr>
            <w:tcW w:w="1137" w:type="dxa"/>
            <w:shd w:val="clear" w:color="auto" w:fill="auto"/>
            <w:noWrap/>
            <w:vAlign w:val="bottom"/>
            <w:hideMark/>
          </w:tcPr>
          <w:p w14:paraId="02905BD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48,485</w:t>
            </w:r>
          </w:p>
        </w:tc>
      </w:tr>
      <w:tr w:rsidR="00C412F6" w:rsidRPr="00521357" w14:paraId="37209D85" w14:textId="77777777" w:rsidTr="000E282C">
        <w:trPr>
          <w:trHeight w:val="288"/>
        </w:trPr>
        <w:tc>
          <w:tcPr>
            <w:tcW w:w="1843" w:type="dxa"/>
            <w:shd w:val="clear" w:color="auto" w:fill="auto"/>
            <w:noWrap/>
            <w:vAlign w:val="bottom"/>
            <w:hideMark/>
          </w:tcPr>
          <w:p w14:paraId="2B2BC115"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Šiauliai </w:t>
            </w:r>
          </w:p>
        </w:tc>
        <w:tc>
          <w:tcPr>
            <w:tcW w:w="1054" w:type="dxa"/>
            <w:shd w:val="clear" w:color="auto" w:fill="auto"/>
            <w:noWrap/>
            <w:vAlign w:val="bottom"/>
            <w:hideMark/>
          </w:tcPr>
          <w:p w14:paraId="489B1B9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49</w:t>
            </w:r>
          </w:p>
        </w:tc>
        <w:tc>
          <w:tcPr>
            <w:tcW w:w="926" w:type="dxa"/>
            <w:shd w:val="clear" w:color="auto" w:fill="auto"/>
            <w:noWrap/>
            <w:vAlign w:val="bottom"/>
            <w:hideMark/>
          </w:tcPr>
          <w:p w14:paraId="017D7AD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66</w:t>
            </w:r>
          </w:p>
        </w:tc>
        <w:tc>
          <w:tcPr>
            <w:tcW w:w="1134" w:type="dxa"/>
            <w:shd w:val="clear" w:color="auto" w:fill="auto"/>
            <w:noWrap/>
            <w:vAlign w:val="bottom"/>
            <w:hideMark/>
          </w:tcPr>
          <w:p w14:paraId="45DD8868"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74</w:t>
            </w:r>
          </w:p>
        </w:tc>
        <w:tc>
          <w:tcPr>
            <w:tcW w:w="992" w:type="dxa"/>
            <w:shd w:val="clear" w:color="auto" w:fill="auto"/>
            <w:noWrap/>
            <w:vAlign w:val="bottom"/>
            <w:hideMark/>
          </w:tcPr>
          <w:p w14:paraId="5EC6C783"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89</w:t>
            </w:r>
          </w:p>
        </w:tc>
        <w:tc>
          <w:tcPr>
            <w:tcW w:w="992" w:type="dxa"/>
            <w:shd w:val="clear" w:color="auto" w:fill="auto"/>
            <w:noWrap/>
            <w:vAlign w:val="bottom"/>
            <w:hideMark/>
          </w:tcPr>
          <w:p w14:paraId="0AE0C7B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82</w:t>
            </w:r>
          </w:p>
        </w:tc>
        <w:tc>
          <w:tcPr>
            <w:tcW w:w="851" w:type="dxa"/>
            <w:shd w:val="clear" w:color="auto" w:fill="auto"/>
            <w:noWrap/>
            <w:vAlign w:val="bottom"/>
            <w:hideMark/>
          </w:tcPr>
          <w:p w14:paraId="6C5A196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63</w:t>
            </w:r>
          </w:p>
        </w:tc>
        <w:tc>
          <w:tcPr>
            <w:tcW w:w="1003" w:type="dxa"/>
            <w:shd w:val="clear" w:color="auto" w:fill="auto"/>
            <w:noWrap/>
            <w:vAlign w:val="bottom"/>
            <w:hideMark/>
          </w:tcPr>
          <w:p w14:paraId="578E976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77</w:t>
            </w:r>
          </w:p>
        </w:tc>
        <w:tc>
          <w:tcPr>
            <w:tcW w:w="1137" w:type="dxa"/>
            <w:shd w:val="clear" w:color="auto" w:fill="auto"/>
            <w:noWrap/>
            <w:vAlign w:val="bottom"/>
            <w:hideMark/>
          </w:tcPr>
          <w:p w14:paraId="14525F59"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57,143</w:t>
            </w:r>
          </w:p>
        </w:tc>
      </w:tr>
      <w:tr w:rsidR="00C412F6" w:rsidRPr="00521357" w14:paraId="291496EC" w14:textId="77777777" w:rsidTr="000E282C">
        <w:trPr>
          <w:trHeight w:val="288"/>
        </w:trPr>
        <w:tc>
          <w:tcPr>
            <w:tcW w:w="1843" w:type="dxa"/>
            <w:shd w:val="clear" w:color="auto" w:fill="auto"/>
            <w:noWrap/>
            <w:vAlign w:val="bottom"/>
            <w:hideMark/>
          </w:tcPr>
          <w:p w14:paraId="7947B607"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Mažeikiai </w:t>
            </w:r>
          </w:p>
        </w:tc>
        <w:tc>
          <w:tcPr>
            <w:tcW w:w="1054" w:type="dxa"/>
            <w:shd w:val="clear" w:color="auto" w:fill="auto"/>
            <w:noWrap/>
            <w:vAlign w:val="bottom"/>
            <w:hideMark/>
          </w:tcPr>
          <w:p w14:paraId="4F1F2C0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28</w:t>
            </w:r>
          </w:p>
        </w:tc>
        <w:tc>
          <w:tcPr>
            <w:tcW w:w="926" w:type="dxa"/>
            <w:shd w:val="clear" w:color="auto" w:fill="auto"/>
            <w:noWrap/>
            <w:vAlign w:val="bottom"/>
            <w:hideMark/>
          </w:tcPr>
          <w:p w14:paraId="79E890DB"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27</w:t>
            </w:r>
          </w:p>
        </w:tc>
        <w:tc>
          <w:tcPr>
            <w:tcW w:w="1134" w:type="dxa"/>
            <w:shd w:val="clear" w:color="auto" w:fill="auto"/>
            <w:noWrap/>
            <w:vAlign w:val="bottom"/>
            <w:hideMark/>
          </w:tcPr>
          <w:p w14:paraId="6A0A27FA"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28</w:t>
            </w:r>
          </w:p>
        </w:tc>
        <w:tc>
          <w:tcPr>
            <w:tcW w:w="992" w:type="dxa"/>
            <w:shd w:val="clear" w:color="auto" w:fill="auto"/>
            <w:noWrap/>
            <w:vAlign w:val="bottom"/>
            <w:hideMark/>
          </w:tcPr>
          <w:p w14:paraId="22AC9CEE"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28</w:t>
            </w:r>
          </w:p>
        </w:tc>
        <w:tc>
          <w:tcPr>
            <w:tcW w:w="992" w:type="dxa"/>
            <w:shd w:val="clear" w:color="auto" w:fill="auto"/>
            <w:noWrap/>
            <w:vAlign w:val="bottom"/>
            <w:hideMark/>
          </w:tcPr>
          <w:p w14:paraId="530D1AA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w:t>
            </w:r>
          </w:p>
        </w:tc>
        <w:tc>
          <w:tcPr>
            <w:tcW w:w="851" w:type="dxa"/>
            <w:shd w:val="clear" w:color="auto" w:fill="auto"/>
            <w:noWrap/>
            <w:vAlign w:val="bottom"/>
            <w:hideMark/>
          </w:tcPr>
          <w:p w14:paraId="38C41105"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26</w:t>
            </w:r>
          </w:p>
        </w:tc>
        <w:tc>
          <w:tcPr>
            <w:tcW w:w="1003" w:type="dxa"/>
            <w:shd w:val="clear" w:color="auto" w:fill="auto"/>
            <w:noWrap/>
            <w:vAlign w:val="bottom"/>
            <w:hideMark/>
          </w:tcPr>
          <w:p w14:paraId="54CDC7EE"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15</w:t>
            </w:r>
          </w:p>
        </w:tc>
        <w:tc>
          <w:tcPr>
            <w:tcW w:w="1137" w:type="dxa"/>
            <w:shd w:val="clear" w:color="auto" w:fill="auto"/>
            <w:noWrap/>
            <w:vAlign w:val="bottom"/>
            <w:hideMark/>
          </w:tcPr>
          <w:p w14:paraId="757BCA80"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-46,43</w:t>
            </w:r>
          </w:p>
        </w:tc>
      </w:tr>
      <w:tr w:rsidR="00C412F6" w:rsidRPr="00521357" w14:paraId="7158A576" w14:textId="77777777" w:rsidTr="000E282C">
        <w:trPr>
          <w:trHeight w:val="288"/>
        </w:trPr>
        <w:tc>
          <w:tcPr>
            <w:tcW w:w="1843" w:type="dxa"/>
            <w:shd w:val="clear" w:color="auto" w:fill="auto"/>
            <w:noWrap/>
            <w:vAlign w:val="bottom"/>
            <w:hideMark/>
          </w:tcPr>
          <w:p w14:paraId="15EEB07B"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Naujoji Akmenė </w:t>
            </w:r>
          </w:p>
        </w:tc>
        <w:tc>
          <w:tcPr>
            <w:tcW w:w="1054" w:type="dxa"/>
            <w:shd w:val="clear" w:color="auto" w:fill="auto"/>
            <w:noWrap/>
            <w:vAlign w:val="bottom"/>
            <w:hideMark/>
          </w:tcPr>
          <w:p w14:paraId="00F522D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13</w:t>
            </w:r>
          </w:p>
        </w:tc>
        <w:tc>
          <w:tcPr>
            <w:tcW w:w="926" w:type="dxa"/>
            <w:shd w:val="clear" w:color="auto" w:fill="auto"/>
            <w:noWrap/>
            <w:vAlign w:val="bottom"/>
            <w:hideMark/>
          </w:tcPr>
          <w:p w14:paraId="574783BA"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10</w:t>
            </w:r>
          </w:p>
        </w:tc>
        <w:tc>
          <w:tcPr>
            <w:tcW w:w="1134" w:type="dxa"/>
            <w:shd w:val="clear" w:color="auto" w:fill="auto"/>
            <w:noWrap/>
            <w:vAlign w:val="bottom"/>
            <w:hideMark/>
          </w:tcPr>
          <w:p w14:paraId="6D9551A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w:t>
            </w:r>
          </w:p>
        </w:tc>
        <w:tc>
          <w:tcPr>
            <w:tcW w:w="992" w:type="dxa"/>
            <w:shd w:val="clear" w:color="auto" w:fill="auto"/>
            <w:noWrap/>
            <w:vAlign w:val="bottom"/>
            <w:hideMark/>
          </w:tcPr>
          <w:p w14:paraId="146B8716"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7</w:t>
            </w:r>
          </w:p>
        </w:tc>
        <w:tc>
          <w:tcPr>
            <w:tcW w:w="992" w:type="dxa"/>
            <w:shd w:val="clear" w:color="auto" w:fill="auto"/>
            <w:noWrap/>
            <w:vAlign w:val="bottom"/>
            <w:hideMark/>
          </w:tcPr>
          <w:p w14:paraId="7C2A08AB"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w:t>
            </w:r>
          </w:p>
        </w:tc>
        <w:tc>
          <w:tcPr>
            <w:tcW w:w="851" w:type="dxa"/>
            <w:shd w:val="clear" w:color="auto" w:fill="auto"/>
            <w:noWrap/>
            <w:vAlign w:val="bottom"/>
            <w:hideMark/>
          </w:tcPr>
          <w:p w14:paraId="739B725E"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5</w:t>
            </w:r>
          </w:p>
        </w:tc>
        <w:tc>
          <w:tcPr>
            <w:tcW w:w="1003" w:type="dxa"/>
            <w:shd w:val="clear" w:color="auto" w:fill="auto"/>
            <w:noWrap/>
            <w:vAlign w:val="bottom"/>
            <w:hideMark/>
          </w:tcPr>
          <w:p w14:paraId="2D7F6FDE"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w:t>
            </w:r>
          </w:p>
        </w:tc>
        <w:tc>
          <w:tcPr>
            <w:tcW w:w="1137" w:type="dxa"/>
            <w:shd w:val="clear" w:color="auto" w:fill="auto"/>
            <w:noWrap/>
            <w:vAlign w:val="bottom"/>
            <w:hideMark/>
          </w:tcPr>
          <w:p w14:paraId="0CF36AE6"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-69,23</w:t>
            </w:r>
          </w:p>
        </w:tc>
      </w:tr>
      <w:tr w:rsidR="00C412F6" w:rsidRPr="00521357" w14:paraId="6DC3FC16" w14:textId="77777777" w:rsidTr="000E282C">
        <w:trPr>
          <w:trHeight w:val="288"/>
        </w:trPr>
        <w:tc>
          <w:tcPr>
            <w:tcW w:w="1843" w:type="dxa"/>
            <w:shd w:val="clear" w:color="auto" w:fill="auto"/>
            <w:noWrap/>
            <w:vAlign w:val="bottom"/>
            <w:hideMark/>
          </w:tcPr>
          <w:p w14:paraId="70D08AA3"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Jonava </w:t>
            </w:r>
          </w:p>
        </w:tc>
        <w:tc>
          <w:tcPr>
            <w:tcW w:w="1054" w:type="dxa"/>
            <w:shd w:val="clear" w:color="auto" w:fill="auto"/>
            <w:noWrap/>
            <w:vAlign w:val="bottom"/>
            <w:hideMark/>
          </w:tcPr>
          <w:p w14:paraId="0B638947"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10</w:t>
            </w:r>
          </w:p>
        </w:tc>
        <w:tc>
          <w:tcPr>
            <w:tcW w:w="926" w:type="dxa"/>
            <w:shd w:val="clear" w:color="auto" w:fill="auto"/>
            <w:noWrap/>
            <w:vAlign w:val="bottom"/>
            <w:hideMark/>
          </w:tcPr>
          <w:p w14:paraId="0496183A"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7</w:t>
            </w:r>
          </w:p>
        </w:tc>
        <w:tc>
          <w:tcPr>
            <w:tcW w:w="1134" w:type="dxa"/>
            <w:shd w:val="clear" w:color="auto" w:fill="auto"/>
            <w:noWrap/>
            <w:vAlign w:val="bottom"/>
            <w:hideMark/>
          </w:tcPr>
          <w:p w14:paraId="0D2C1BBA"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10</w:t>
            </w:r>
          </w:p>
        </w:tc>
        <w:tc>
          <w:tcPr>
            <w:tcW w:w="992" w:type="dxa"/>
            <w:shd w:val="clear" w:color="auto" w:fill="auto"/>
            <w:noWrap/>
            <w:vAlign w:val="bottom"/>
            <w:hideMark/>
          </w:tcPr>
          <w:p w14:paraId="703059F4"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16</w:t>
            </w:r>
          </w:p>
        </w:tc>
        <w:tc>
          <w:tcPr>
            <w:tcW w:w="992" w:type="dxa"/>
            <w:shd w:val="clear" w:color="auto" w:fill="auto"/>
            <w:noWrap/>
            <w:vAlign w:val="bottom"/>
            <w:hideMark/>
          </w:tcPr>
          <w:p w14:paraId="09F7C601"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20</w:t>
            </w:r>
          </w:p>
        </w:tc>
        <w:tc>
          <w:tcPr>
            <w:tcW w:w="851" w:type="dxa"/>
            <w:shd w:val="clear" w:color="auto" w:fill="auto"/>
            <w:noWrap/>
            <w:vAlign w:val="bottom"/>
            <w:hideMark/>
          </w:tcPr>
          <w:p w14:paraId="0173B84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23</w:t>
            </w:r>
          </w:p>
        </w:tc>
        <w:tc>
          <w:tcPr>
            <w:tcW w:w="1003" w:type="dxa"/>
            <w:shd w:val="clear" w:color="auto" w:fill="auto"/>
            <w:noWrap/>
            <w:vAlign w:val="bottom"/>
            <w:hideMark/>
          </w:tcPr>
          <w:p w14:paraId="4F706FAD"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16</w:t>
            </w:r>
          </w:p>
        </w:tc>
        <w:tc>
          <w:tcPr>
            <w:tcW w:w="1137" w:type="dxa"/>
            <w:shd w:val="clear" w:color="auto" w:fill="auto"/>
            <w:noWrap/>
            <w:vAlign w:val="bottom"/>
            <w:hideMark/>
          </w:tcPr>
          <w:p w14:paraId="2779266D"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60</w:t>
            </w:r>
          </w:p>
        </w:tc>
      </w:tr>
      <w:tr w:rsidR="00C412F6" w:rsidRPr="00521357" w14:paraId="76C939DB" w14:textId="77777777" w:rsidTr="000E282C">
        <w:trPr>
          <w:trHeight w:val="288"/>
        </w:trPr>
        <w:tc>
          <w:tcPr>
            <w:tcW w:w="1843" w:type="dxa"/>
            <w:shd w:val="clear" w:color="auto" w:fill="auto"/>
            <w:noWrap/>
            <w:vAlign w:val="bottom"/>
            <w:hideMark/>
          </w:tcPr>
          <w:p w14:paraId="12AAC5B1"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 xml:space="preserve">Kėdainiai </w:t>
            </w:r>
          </w:p>
        </w:tc>
        <w:tc>
          <w:tcPr>
            <w:tcW w:w="1054" w:type="dxa"/>
            <w:shd w:val="clear" w:color="auto" w:fill="auto"/>
            <w:noWrap/>
            <w:vAlign w:val="bottom"/>
            <w:hideMark/>
          </w:tcPr>
          <w:p w14:paraId="3C6EC7C8"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17</w:t>
            </w:r>
          </w:p>
        </w:tc>
        <w:tc>
          <w:tcPr>
            <w:tcW w:w="926" w:type="dxa"/>
            <w:shd w:val="clear" w:color="auto" w:fill="auto"/>
            <w:noWrap/>
            <w:vAlign w:val="bottom"/>
            <w:hideMark/>
          </w:tcPr>
          <w:p w14:paraId="00F30B24"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17</w:t>
            </w:r>
          </w:p>
        </w:tc>
        <w:tc>
          <w:tcPr>
            <w:tcW w:w="1134" w:type="dxa"/>
            <w:shd w:val="clear" w:color="auto" w:fill="auto"/>
            <w:noWrap/>
            <w:vAlign w:val="bottom"/>
            <w:hideMark/>
          </w:tcPr>
          <w:p w14:paraId="06FF227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19</w:t>
            </w:r>
          </w:p>
        </w:tc>
        <w:tc>
          <w:tcPr>
            <w:tcW w:w="992" w:type="dxa"/>
            <w:shd w:val="clear" w:color="auto" w:fill="auto"/>
            <w:noWrap/>
            <w:vAlign w:val="bottom"/>
            <w:hideMark/>
          </w:tcPr>
          <w:p w14:paraId="04DB216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22</w:t>
            </w:r>
          </w:p>
        </w:tc>
        <w:tc>
          <w:tcPr>
            <w:tcW w:w="992" w:type="dxa"/>
            <w:shd w:val="clear" w:color="auto" w:fill="auto"/>
            <w:noWrap/>
            <w:vAlign w:val="bottom"/>
            <w:hideMark/>
          </w:tcPr>
          <w:p w14:paraId="659C50E7"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22</w:t>
            </w:r>
          </w:p>
        </w:tc>
        <w:tc>
          <w:tcPr>
            <w:tcW w:w="851" w:type="dxa"/>
            <w:shd w:val="clear" w:color="auto" w:fill="auto"/>
            <w:noWrap/>
            <w:vAlign w:val="bottom"/>
            <w:hideMark/>
          </w:tcPr>
          <w:p w14:paraId="38D89B20"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41</w:t>
            </w:r>
          </w:p>
        </w:tc>
        <w:tc>
          <w:tcPr>
            <w:tcW w:w="1003" w:type="dxa"/>
            <w:shd w:val="clear" w:color="auto" w:fill="auto"/>
            <w:noWrap/>
            <w:vAlign w:val="bottom"/>
            <w:hideMark/>
          </w:tcPr>
          <w:p w14:paraId="68C3FDAE"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24</w:t>
            </w:r>
          </w:p>
        </w:tc>
        <w:tc>
          <w:tcPr>
            <w:tcW w:w="1137" w:type="dxa"/>
            <w:shd w:val="clear" w:color="auto" w:fill="auto"/>
            <w:noWrap/>
            <w:vAlign w:val="bottom"/>
            <w:hideMark/>
          </w:tcPr>
          <w:p w14:paraId="41E7DAFF"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41,176</w:t>
            </w:r>
          </w:p>
        </w:tc>
      </w:tr>
      <w:tr w:rsidR="00C412F6" w:rsidRPr="00521357" w14:paraId="1271499E" w14:textId="77777777" w:rsidTr="000E282C">
        <w:trPr>
          <w:trHeight w:val="288"/>
        </w:trPr>
        <w:tc>
          <w:tcPr>
            <w:tcW w:w="1843" w:type="dxa"/>
            <w:shd w:val="clear" w:color="auto" w:fill="auto"/>
            <w:noWrap/>
            <w:vAlign w:val="bottom"/>
            <w:hideMark/>
          </w:tcPr>
          <w:p w14:paraId="20BD82DE" w14:textId="77777777" w:rsidR="00C412F6" w:rsidRPr="00C412F6" w:rsidRDefault="00C412F6" w:rsidP="00C412F6">
            <w:pPr>
              <w:spacing w:line="240" w:lineRule="auto"/>
              <w:ind w:firstLine="0"/>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Iš viso:</w:t>
            </w:r>
          </w:p>
        </w:tc>
        <w:tc>
          <w:tcPr>
            <w:tcW w:w="1054" w:type="dxa"/>
            <w:shd w:val="clear" w:color="auto" w:fill="auto"/>
            <w:noWrap/>
            <w:vAlign w:val="bottom"/>
            <w:hideMark/>
          </w:tcPr>
          <w:p w14:paraId="21523F50"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833</w:t>
            </w:r>
          </w:p>
        </w:tc>
        <w:tc>
          <w:tcPr>
            <w:tcW w:w="926" w:type="dxa"/>
            <w:shd w:val="clear" w:color="auto" w:fill="auto"/>
            <w:noWrap/>
            <w:vAlign w:val="bottom"/>
            <w:hideMark/>
          </w:tcPr>
          <w:p w14:paraId="6B53B088"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832</w:t>
            </w:r>
          </w:p>
        </w:tc>
        <w:tc>
          <w:tcPr>
            <w:tcW w:w="1134" w:type="dxa"/>
            <w:shd w:val="clear" w:color="auto" w:fill="auto"/>
            <w:noWrap/>
            <w:vAlign w:val="bottom"/>
            <w:hideMark/>
          </w:tcPr>
          <w:p w14:paraId="04A854C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842</w:t>
            </w:r>
          </w:p>
        </w:tc>
        <w:tc>
          <w:tcPr>
            <w:tcW w:w="992" w:type="dxa"/>
            <w:shd w:val="clear" w:color="auto" w:fill="auto"/>
            <w:noWrap/>
            <w:vAlign w:val="bottom"/>
            <w:hideMark/>
          </w:tcPr>
          <w:p w14:paraId="48C859FD"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864</w:t>
            </w:r>
          </w:p>
        </w:tc>
        <w:tc>
          <w:tcPr>
            <w:tcW w:w="992" w:type="dxa"/>
            <w:shd w:val="clear" w:color="auto" w:fill="auto"/>
            <w:noWrap/>
            <w:vAlign w:val="bottom"/>
            <w:hideMark/>
          </w:tcPr>
          <w:p w14:paraId="49310BA3"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860</w:t>
            </w:r>
          </w:p>
        </w:tc>
        <w:tc>
          <w:tcPr>
            <w:tcW w:w="851" w:type="dxa"/>
            <w:shd w:val="clear" w:color="auto" w:fill="auto"/>
            <w:noWrap/>
            <w:vAlign w:val="bottom"/>
            <w:hideMark/>
          </w:tcPr>
          <w:p w14:paraId="7998460D"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844</w:t>
            </w:r>
          </w:p>
        </w:tc>
        <w:tc>
          <w:tcPr>
            <w:tcW w:w="1003" w:type="dxa"/>
            <w:shd w:val="clear" w:color="auto" w:fill="auto"/>
            <w:noWrap/>
            <w:vAlign w:val="bottom"/>
            <w:hideMark/>
          </w:tcPr>
          <w:p w14:paraId="61C458C2"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726</w:t>
            </w:r>
          </w:p>
        </w:tc>
        <w:tc>
          <w:tcPr>
            <w:tcW w:w="1137" w:type="dxa"/>
            <w:shd w:val="clear" w:color="auto" w:fill="auto"/>
            <w:noWrap/>
            <w:vAlign w:val="bottom"/>
            <w:hideMark/>
          </w:tcPr>
          <w:p w14:paraId="448DE404" w14:textId="77777777" w:rsidR="00C412F6" w:rsidRPr="00C412F6" w:rsidRDefault="00C412F6" w:rsidP="00C412F6">
            <w:pPr>
              <w:spacing w:line="240" w:lineRule="auto"/>
              <w:ind w:firstLine="0"/>
              <w:jc w:val="right"/>
              <w:rPr>
                <w:rFonts w:eastAsia="Times New Roman" w:cs="Times New Roman"/>
                <w:color w:val="000000"/>
                <w:kern w:val="0"/>
                <w:szCs w:val="24"/>
                <w:lang w:eastAsia="lt-LT"/>
                <w14:ligatures w14:val="none"/>
              </w:rPr>
            </w:pPr>
            <w:r w:rsidRPr="00C412F6">
              <w:rPr>
                <w:rFonts w:eastAsia="Times New Roman" w:cs="Times New Roman"/>
                <w:color w:val="000000"/>
                <w:kern w:val="0"/>
                <w:szCs w:val="24"/>
                <w:lang w:eastAsia="lt-LT"/>
                <w14:ligatures w14:val="none"/>
              </w:rPr>
              <w:t>-12,85</w:t>
            </w:r>
          </w:p>
        </w:tc>
      </w:tr>
    </w:tbl>
    <w:p w14:paraId="1736E079" w14:textId="77777777" w:rsidR="002E5A39" w:rsidRPr="00521357" w:rsidRDefault="002E5A39" w:rsidP="00C412F6">
      <w:pPr>
        <w:ind w:firstLine="0"/>
        <w:jc w:val="both"/>
        <w:rPr>
          <w:rFonts w:cs="Times New Roman"/>
          <w:szCs w:val="24"/>
        </w:rPr>
      </w:pPr>
    </w:p>
    <w:p w14:paraId="289091FF" w14:textId="5EE1600C" w:rsidR="00457C81" w:rsidRPr="00521357" w:rsidRDefault="00457C81" w:rsidP="00C61094">
      <w:pPr>
        <w:ind w:firstLine="567"/>
        <w:jc w:val="both"/>
        <w:rPr>
          <w:rFonts w:cs="Times New Roman"/>
          <w:szCs w:val="24"/>
        </w:rPr>
      </w:pPr>
      <w:r w:rsidRPr="00521357">
        <w:rPr>
          <w:rFonts w:cs="Times New Roman"/>
          <w:szCs w:val="24"/>
        </w:rPr>
        <w:t>Pagal priimtas prielaidas</w:t>
      </w:r>
      <w:r w:rsidR="00BA5D47" w:rsidRPr="00521357">
        <w:rPr>
          <w:rFonts w:cs="Times New Roman"/>
          <w:szCs w:val="24"/>
        </w:rPr>
        <w:t>,</w:t>
      </w:r>
      <w:r w:rsidRPr="00521357">
        <w:rPr>
          <w:rFonts w:cs="Times New Roman"/>
          <w:szCs w:val="24"/>
        </w:rPr>
        <w:t xml:space="preserve"> 9</w:t>
      </w:r>
      <w:r w:rsidR="005F6842" w:rsidRPr="00521357">
        <w:rPr>
          <w:rFonts w:cs="Times New Roman"/>
          <w:szCs w:val="24"/>
        </w:rPr>
        <w:t>-iuose</w:t>
      </w:r>
      <w:r w:rsidRPr="00521357">
        <w:rPr>
          <w:rFonts w:cs="Times New Roman"/>
          <w:szCs w:val="24"/>
        </w:rPr>
        <w:t xml:space="preserve"> Lietuvos miestuose 202</w:t>
      </w:r>
      <w:r w:rsidR="00887F12" w:rsidRPr="00521357">
        <w:rPr>
          <w:rFonts w:cs="Times New Roman"/>
          <w:szCs w:val="24"/>
        </w:rPr>
        <w:t>1</w:t>
      </w:r>
      <w:r w:rsidR="00915148" w:rsidRPr="00521357">
        <w:rPr>
          <w:rFonts w:cs="Times New Roman"/>
          <w:szCs w:val="24"/>
        </w:rPr>
        <w:t>–</w:t>
      </w:r>
      <w:r w:rsidRPr="00521357">
        <w:rPr>
          <w:rFonts w:cs="Times New Roman"/>
          <w:szCs w:val="24"/>
        </w:rPr>
        <w:t>202</w:t>
      </w:r>
      <w:r w:rsidR="00FB4C6C" w:rsidRPr="00521357">
        <w:rPr>
          <w:rFonts w:cs="Times New Roman"/>
          <w:szCs w:val="24"/>
        </w:rPr>
        <w:t>3</w:t>
      </w:r>
      <w:r w:rsidRPr="00521357">
        <w:rPr>
          <w:rFonts w:cs="Times New Roman"/>
          <w:szCs w:val="24"/>
        </w:rPr>
        <w:t xml:space="preserve"> m. period</w:t>
      </w:r>
      <w:r w:rsidR="00887F12" w:rsidRPr="00521357">
        <w:rPr>
          <w:rFonts w:cs="Times New Roman"/>
          <w:szCs w:val="24"/>
        </w:rPr>
        <w:t>u</w:t>
      </w:r>
      <w:r w:rsidRPr="00521357">
        <w:rPr>
          <w:rFonts w:cs="Times New Roman"/>
          <w:szCs w:val="24"/>
        </w:rPr>
        <w:t xml:space="preserve"> dėl aplinkos oro užterštumo KD2,5 vidutiniškai mirė </w:t>
      </w:r>
      <w:r w:rsidR="00C412F6" w:rsidRPr="00521357">
        <w:rPr>
          <w:rFonts w:cs="Times New Roman"/>
          <w:szCs w:val="24"/>
        </w:rPr>
        <w:t>126</w:t>
      </w:r>
      <w:r w:rsidRPr="00521357">
        <w:rPr>
          <w:rFonts w:cs="Times New Roman"/>
          <w:szCs w:val="24"/>
        </w:rPr>
        <w:t xml:space="preserve"> asmenys</w:t>
      </w:r>
      <w:r w:rsidR="00B63B84" w:rsidRPr="00521357">
        <w:rPr>
          <w:rFonts w:cs="Times New Roman"/>
          <w:szCs w:val="24"/>
        </w:rPr>
        <w:t xml:space="preserve"> (</w:t>
      </w:r>
      <w:r w:rsidR="00B63B84" w:rsidRPr="00521357">
        <w:rPr>
          <w:rFonts w:cs="Times New Roman"/>
          <w:b/>
          <w:szCs w:val="24"/>
        </w:rPr>
        <w:t>kai C</w:t>
      </w:r>
      <w:r w:rsidR="00B63B84" w:rsidRPr="00521357">
        <w:rPr>
          <w:rFonts w:cs="Times New Roman"/>
          <w:b/>
          <w:szCs w:val="24"/>
          <w:vertAlign w:val="subscript"/>
        </w:rPr>
        <w:t>0</w:t>
      </w:r>
      <w:r w:rsidR="00B63B84" w:rsidRPr="00521357">
        <w:rPr>
          <w:rFonts w:cs="Times New Roman"/>
          <w:b/>
          <w:szCs w:val="24"/>
        </w:rPr>
        <w:t xml:space="preserve"> = 10 μg/m</w:t>
      </w:r>
      <w:r w:rsidR="00B63B84" w:rsidRPr="00521357">
        <w:rPr>
          <w:rFonts w:cs="Times New Roman"/>
          <w:b/>
          <w:szCs w:val="24"/>
          <w:vertAlign w:val="superscript"/>
        </w:rPr>
        <w:t>3</w:t>
      </w:r>
      <w:r w:rsidR="0037797F" w:rsidRPr="00521357">
        <w:rPr>
          <w:rFonts w:cs="Times New Roman"/>
          <w:b/>
          <w:szCs w:val="24"/>
        </w:rPr>
        <w:t>)</w:t>
      </w:r>
      <w:r w:rsidR="00EE4249" w:rsidRPr="00521357">
        <w:rPr>
          <w:rFonts w:cs="Times New Roman"/>
          <w:szCs w:val="24"/>
        </w:rPr>
        <w:t xml:space="preserve"> arba </w:t>
      </w:r>
      <w:r w:rsidR="00887F12" w:rsidRPr="00521357">
        <w:rPr>
          <w:rFonts w:cs="Times New Roman"/>
          <w:szCs w:val="24"/>
        </w:rPr>
        <w:t>726</w:t>
      </w:r>
      <w:r w:rsidR="00EE4249" w:rsidRPr="00521357">
        <w:rPr>
          <w:rFonts w:cs="Times New Roman"/>
          <w:szCs w:val="24"/>
        </w:rPr>
        <w:t xml:space="preserve"> </w:t>
      </w:r>
      <w:r w:rsidR="00B63B84" w:rsidRPr="00521357">
        <w:rPr>
          <w:rFonts w:cs="Times New Roman"/>
          <w:szCs w:val="24"/>
        </w:rPr>
        <w:t>asmenys (</w:t>
      </w:r>
      <w:r w:rsidR="00B63B84" w:rsidRPr="00521357">
        <w:rPr>
          <w:rFonts w:cs="Times New Roman"/>
          <w:b/>
          <w:szCs w:val="24"/>
        </w:rPr>
        <w:t>kai  C</w:t>
      </w:r>
      <w:r w:rsidR="00B63B84" w:rsidRPr="00521357">
        <w:rPr>
          <w:rFonts w:cs="Times New Roman"/>
          <w:b/>
          <w:szCs w:val="24"/>
          <w:vertAlign w:val="subscript"/>
        </w:rPr>
        <w:t>0</w:t>
      </w:r>
      <w:r w:rsidR="00B63B84" w:rsidRPr="00521357">
        <w:rPr>
          <w:rFonts w:cs="Times New Roman"/>
          <w:b/>
          <w:szCs w:val="24"/>
        </w:rPr>
        <w:t xml:space="preserve"> = 5 μg/m</w:t>
      </w:r>
      <w:r w:rsidR="00B63B84" w:rsidRPr="00521357">
        <w:rPr>
          <w:rFonts w:cs="Times New Roman"/>
          <w:b/>
          <w:szCs w:val="24"/>
          <w:vertAlign w:val="superscript"/>
        </w:rPr>
        <w:t>3</w:t>
      </w:r>
      <w:r w:rsidR="00B63B84" w:rsidRPr="00521357">
        <w:rPr>
          <w:rFonts w:cs="Times New Roman"/>
          <w:b/>
          <w:szCs w:val="24"/>
        </w:rPr>
        <w:t>)</w:t>
      </w:r>
      <w:r w:rsidR="00887F12" w:rsidRPr="00521357">
        <w:rPr>
          <w:rFonts w:cs="Times New Roman"/>
          <w:b/>
          <w:szCs w:val="24"/>
        </w:rPr>
        <w:t>.</w:t>
      </w:r>
      <w:r w:rsidR="00B63B84" w:rsidRPr="00521357">
        <w:rPr>
          <w:rFonts w:cs="Times New Roman"/>
          <w:b/>
          <w:szCs w:val="24"/>
        </w:rPr>
        <w:t xml:space="preserve"> </w:t>
      </w:r>
      <w:r w:rsidR="00887F12" w:rsidRPr="00521357">
        <w:rPr>
          <w:rFonts w:cs="Times New Roman"/>
          <w:szCs w:val="24"/>
        </w:rPr>
        <w:t>A</w:t>
      </w:r>
      <w:r w:rsidR="00EE4249" w:rsidRPr="00521357">
        <w:rPr>
          <w:rFonts w:cs="Times New Roman"/>
          <w:szCs w:val="24"/>
        </w:rPr>
        <w:t>titinkamai pagal taikomą</w:t>
      </w:r>
      <w:r w:rsidR="00887F12" w:rsidRPr="00521357">
        <w:rPr>
          <w:rFonts w:cs="Times New Roman"/>
          <w:szCs w:val="24"/>
        </w:rPr>
        <w:t xml:space="preserve"> PSO</w:t>
      </w:r>
      <w:r w:rsidR="00EE4249" w:rsidRPr="00521357">
        <w:rPr>
          <w:rFonts w:cs="Times New Roman"/>
          <w:szCs w:val="24"/>
        </w:rPr>
        <w:t xml:space="preserve"> ribinį dydį</w:t>
      </w:r>
      <w:r w:rsidRPr="00521357">
        <w:rPr>
          <w:rFonts w:cs="Times New Roman"/>
          <w:szCs w:val="24"/>
        </w:rPr>
        <w:t>, t.</w:t>
      </w:r>
      <w:r w:rsidR="00915148" w:rsidRPr="00521357">
        <w:rPr>
          <w:rFonts w:cs="Times New Roman"/>
          <w:szCs w:val="24"/>
        </w:rPr>
        <w:t xml:space="preserve"> </w:t>
      </w:r>
      <w:r w:rsidRPr="00521357">
        <w:rPr>
          <w:rFonts w:cs="Times New Roman"/>
          <w:szCs w:val="24"/>
        </w:rPr>
        <w:t>y.</w:t>
      </w:r>
      <w:r w:rsidR="00DE2DFB" w:rsidRPr="00521357">
        <w:rPr>
          <w:rFonts w:cs="Times New Roman"/>
          <w:szCs w:val="24"/>
        </w:rPr>
        <w:t>,</w:t>
      </w:r>
      <w:r w:rsidRPr="00521357">
        <w:rPr>
          <w:rFonts w:cs="Times New Roman"/>
          <w:szCs w:val="24"/>
        </w:rPr>
        <w:t xml:space="preserve"> palygin</w:t>
      </w:r>
      <w:r w:rsidR="00DE2DFB" w:rsidRPr="00521357">
        <w:rPr>
          <w:rFonts w:cs="Times New Roman"/>
          <w:szCs w:val="24"/>
        </w:rPr>
        <w:t>us</w:t>
      </w:r>
      <w:r w:rsidRPr="00521357">
        <w:rPr>
          <w:rFonts w:cs="Times New Roman"/>
          <w:szCs w:val="24"/>
        </w:rPr>
        <w:t xml:space="preserve"> su ankstesniu 20</w:t>
      </w:r>
      <w:r w:rsidR="0037797F" w:rsidRPr="00521357">
        <w:rPr>
          <w:rFonts w:cs="Times New Roman"/>
          <w:szCs w:val="24"/>
        </w:rPr>
        <w:t>20</w:t>
      </w:r>
      <w:r w:rsidR="00915148" w:rsidRPr="00521357">
        <w:rPr>
          <w:rFonts w:cs="Times New Roman"/>
          <w:szCs w:val="24"/>
        </w:rPr>
        <w:t>–</w:t>
      </w:r>
      <w:r w:rsidRPr="00521357">
        <w:rPr>
          <w:rFonts w:cs="Times New Roman"/>
          <w:szCs w:val="24"/>
        </w:rPr>
        <w:t>202</w:t>
      </w:r>
      <w:r w:rsidR="0037797F" w:rsidRPr="00521357">
        <w:rPr>
          <w:rFonts w:cs="Times New Roman"/>
          <w:szCs w:val="24"/>
        </w:rPr>
        <w:t>2</w:t>
      </w:r>
      <w:r w:rsidRPr="00521357">
        <w:rPr>
          <w:rFonts w:cs="Times New Roman"/>
          <w:szCs w:val="24"/>
        </w:rPr>
        <w:t xml:space="preserve"> m. periodu</w:t>
      </w:r>
      <w:r w:rsidR="00DE2DFB" w:rsidRPr="00521357">
        <w:rPr>
          <w:rFonts w:cs="Times New Roman"/>
          <w:szCs w:val="24"/>
        </w:rPr>
        <w:t xml:space="preserve"> (</w:t>
      </w:r>
      <w:r w:rsidR="00B63B84" w:rsidRPr="00521357">
        <w:rPr>
          <w:rFonts w:cs="Times New Roman"/>
          <w:szCs w:val="24"/>
        </w:rPr>
        <w:t xml:space="preserve">atitinkamai </w:t>
      </w:r>
      <w:r w:rsidR="0037797F" w:rsidRPr="00521357">
        <w:rPr>
          <w:rFonts w:cs="Times New Roman"/>
          <w:szCs w:val="24"/>
        </w:rPr>
        <w:t>19</w:t>
      </w:r>
      <w:r w:rsidR="00C412F6" w:rsidRPr="00521357">
        <w:rPr>
          <w:rFonts w:cs="Times New Roman"/>
          <w:szCs w:val="24"/>
        </w:rPr>
        <w:t>9</w:t>
      </w:r>
      <w:r w:rsidR="00EE4249" w:rsidRPr="00521357">
        <w:rPr>
          <w:rFonts w:cs="Times New Roman"/>
          <w:szCs w:val="24"/>
        </w:rPr>
        <w:t xml:space="preserve"> ir 8</w:t>
      </w:r>
      <w:r w:rsidR="00887F12" w:rsidRPr="00521357">
        <w:rPr>
          <w:rFonts w:cs="Times New Roman"/>
          <w:szCs w:val="24"/>
        </w:rPr>
        <w:t xml:space="preserve">44 </w:t>
      </w:r>
      <w:r w:rsidR="00B63B84" w:rsidRPr="00521357">
        <w:rPr>
          <w:rFonts w:cs="Times New Roman"/>
          <w:szCs w:val="24"/>
        </w:rPr>
        <w:t xml:space="preserve">asmenų </w:t>
      </w:r>
      <w:r w:rsidR="00DE2DFB" w:rsidRPr="00521357">
        <w:rPr>
          <w:rFonts w:cs="Times New Roman"/>
          <w:szCs w:val="24"/>
        </w:rPr>
        <w:t>),</w:t>
      </w:r>
      <w:r w:rsidRPr="00521357">
        <w:rPr>
          <w:rFonts w:cs="Times New Roman"/>
          <w:szCs w:val="24"/>
        </w:rPr>
        <w:t xml:space="preserve"> priešlaikinių mirčių sumažėjo.</w:t>
      </w:r>
    </w:p>
    <w:p w14:paraId="13289586" w14:textId="77777777" w:rsidR="00A00DC4" w:rsidRPr="00521357" w:rsidRDefault="00A00DC4" w:rsidP="00C61094">
      <w:pPr>
        <w:ind w:firstLine="567"/>
        <w:jc w:val="both"/>
        <w:rPr>
          <w:rFonts w:cs="Times New Roman"/>
          <w:szCs w:val="24"/>
        </w:rPr>
      </w:pPr>
    </w:p>
    <w:p w14:paraId="41BBA9F0" w14:textId="4D6F7B28" w:rsidR="00A00DC4" w:rsidRPr="00521357" w:rsidRDefault="00A00DC4" w:rsidP="00A00DC4">
      <w:pPr>
        <w:jc w:val="both"/>
        <w:rPr>
          <w:rFonts w:cs="Times New Roman"/>
          <w:szCs w:val="24"/>
        </w:rPr>
      </w:pPr>
      <w:r w:rsidRPr="00521357">
        <w:rPr>
          <w:rFonts w:cs="Times New Roman"/>
          <w:szCs w:val="24"/>
        </w:rPr>
        <w:t>Analizuojant šių lentelių duomenis, matyti, kai skaičiavimuose taikomas ribinis arba poveikio neturintis lygis (C</w:t>
      </w:r>
      <w:r w:rsidRPr="00521357">
        <w:rPr>
          <w:rFonts w:cs="Times New Roman"/>
          <w:szCs w:val="24"/>
          <w:vertAlign w:val="subscript"/>
        </w:rPr>
        <w:t>0</w:t>
      </w:r>
      <w:r w:rsidRPr="00521357">
        <w:rPr>
          <w:rFonts w:cs="Times New Roman"/>
          <w:szCs w:val="24"/>
        </w:rPr>
        <w:t xml:space="preserve">), lygus 5 </w:t>
      </w:r>
      <w:proofErr w:type="spellStart"/>
      <w:r w:rsidRPr="00521357">
        <w:rPr>
          <w:rFonts w:cs="Times New Roman"/>
          <w:szCs w:val="24"/>
        </w:rPr>
        <w:t>μg</w:t>
      </w:r>
      <w:proofErr w:type="spellEnd"/>
      <w:r w:rsidRPr="00521357">
        <w:rPr>
          <w:rFonts w:cs="Times New Roman"/>
          <w:szCs w:val="24"/>
        </w:rPr>
        <w:t>/m</w:t>
      </w:r>
      <w:r w:rsidRPr="00521357">
        <w:rPr>
          <w:rFonts w:cs="Times New Roman"/>
          <w:szCs w:val="24"/>
          <w:vertAlign w:val="superscript"/>
        </w:rPr>
        <w:t>3</w:t>
      </w:r>
      <w:r w:rsidRPr="00521357">
        <w:rPr>
          <w:rFonts w:cs="Times New Roman"/>
          <w:szCs w:val="24"/>
        </w:rPr>
        <w:t>, 2015</w:t>
      </w:r>
      <w:r w:rsidR="000E282C">
        <w:rPr>
          <w:rFonts w:cs="Times New Roman"/>
          <w:iCs/>
          <w:szCs w:val="24"/>
        </w:rPr>
        <w:t>–</w:t>
      </w:r>
      <w:r w:rsidRPr="00521357">
        <w:rPr>
          <w:rFonts w:cs="Times New Roman"/>
          <w:szCs w:val="24"/>
        </w:rPr>
        <w:t>2017 m. periodu priešlaikinių mirčių dėl ilgalaikio KD2,5 poveikio būtų galima išvengti (jei metinė vidutinė KD2,5 koncentracija neviršytų šio lygio), 2,8 karto daugiau negu, kai taikytas poveikio neturintis lygis (C</w:t>
      </w:r>
      <w:r w:rsidRPr="00521357">
        <w:rPr>
          <w:rFonts w:cs="Times New Roman"/>
          <w:szCs w:val="24"/>
          <w:vertAlign w:val="subscript"/>
        </w:rPr>
        <w:t>0</w:t>
      </w:r>
      <w:r w:rsidRPr="00521357">
        <w:rPr>
          <w:rFonts w:cs="Times New Roman"/>
          <w:szCs w:val="24"/>
        </w:rPr>
        <w:t xml:space="preserve">), lygus 10 </w:t>
      </w:r>
      <w:proofErr w:type="spellStart"/>
      <w:r w:rsidRPr="00521357">
        <w:rPr>
          <w:rFonts w:cs="Times New Roman"/>
          <w:szCs w:val="24"/>
        </w:rPr>
        <w:t>μg</w:t>
      </w:r>
      <w:proofErr w:type="spellEnd"/>
      <w:r w:rsidRPr="00521357">
        <w:rPr>
          <w:rFonts w:cs="Times New Roman"/>
          <w:szCs w:val="24"/>
        </w:rPr>
        <w:t>/m</w:t>
      </w:r>
      <w:r w:rsidRPr="00521357">
        <w:rPr>
          <w:rFonts w:cs="Times New Roman"/>
          <w:szCs w:val="24"/>
          <w:vertAlign w:val="superscript"/>
        </w:rPr>
        <w:t>3</w:t>
      </w:r>
      <w:r w:rsidRPr="00521357">
        <w:rPr>
          <w:rFonts w:cs="Times New Roman"/>
          <w:szCs w:val="24"/>
        </w:rPr>
        <w:t>, o 2021</w:t>
      </w:r>
      <w:r w:rsidR="000E282C">
        <w:rPr>
          <w:rFonts w:cs="Times New Roman"/>
          <w:iCs/>
          <w:szCs w:val="24"/>
        </w:rPr>
        <w:t>–</w:t>
      </w:r>
      <w:r w:rsidRPr="00521357">
        <w:rPr>
          <w:rFonts w:cs="Times New Roman"/>
          <w:szCs w:val="24"/>
        </w:rPr>
        <w:t xml:space="preserve">2023 m. šis priešlaikinių mirčių skantykis siekia net </w:t>
      </w:r>
      <w:r w:rsidR="000B7D7F" w:rsidRPr="00521357">
        <w:rPr>
          <w:rFonts w:cs="Times New Roman"/>
          <w:szCs w:val="24"/>
        </w:rPr>
        <w:t>5,8</w:t>
      </w:r>
      <w:r w:rsidRPr="00521357">
        <w:rPr>
          <w:rFonts w:cs="Times New Roman"/>
          <w:szCs w:val="24"/>
        </w:rPr>
        <w:t xml:space="preserve"> kart</w:t>
      </w:r>
      <w:r w:rsidR="000B7D7F" w:rsidRPr="00521357">
        <w:rPr>
          <w:rFonts w:cs="Times New Roman"/>
          <w:szCs w:val="24"/>
        </w:rPr>
        <w:t>o</w:t>
      </w:r>
      <w:r w:rsidRPr="00521357">
        <w:rPr>
          <w:rFonts w:cs="Times New Roman"/>
          <w:szCs w:val="24"/>
        </w:rPr>
        <w:t>.</w:t>
      </w:r>
    </w:p>
    <w:p w14:paraId="7F7835FA" w14:textId="77777777" w:rsidR="00A00DC4" w:rsidRPr="00521357" w:rsidRDefault="00A00DC4" w:rsidP="00C61094">
      <w:pPr>
        <w:ind w:firstLine="567"/>
        <w:jc w:val="both"/>
        <w:rPr>
          <w:rFonts w:cs="Times New Roman"/>
          <w:szCs w:val="24"/>
        </w:rPr>
      </w:pPr>
    </w:p>
    <w:p w14:paraId="4D3DAC18" w14:textId="7FCC8FC9" w:rsidR="00A44D40" w:rsidRPr="00521357" w:rsidRDefault="00A44D40" w:rsidP="001531EE">
      <w:pPr>
        <w:pStyle w:val="Antrat1"/>
        <w:rPr>
          <w:rFonts w:cs="Times New Roman"/>
          <w:sz w:val="24"/>
          <w:szCs w:val="24"/>
        </w:rPr>
      </w:pPr>
      <w:r w:rsidRPr="00521357">
        <w:rPr>
          <w:rFonts w:cs="Times New Roman"/>
          <w:sz w:val="24"/>
          <w:szCs w:val="24"/>
        </w:rPr>
        <w:t>Ilgalaikės priešlaikini</w:t>
      </w:r>
      <w:r w:rsidR="00C61094" w:rsidRPr="00521357">
        <w:rPr>
          <w:rFonts w:cs="Times New Roman"/>
          <w:sz w:val="24"/>
          <w:szCs w:val="24"/>
        </w:rPr>
        <w:t xml:space="preserve">ų mirčių </w:t>
      </w:r>
      <w:r w:rsidRPr="00521357">
        <w:rPr>
          <w:rFonts w:cs="Times New Roman"/>
          <w:sz w:val="24"/>
          <w:szCs w:val="24"/>
        </w:rPr>
        <w:t xml:space="preserve">dėl </w:t>
      </w:r>
      <w:r w:rsidR="0081076B" w:rsidRPr="00521357">
        <w:rPr>
          <w:rFonts w:cs="Times New Roman"/>
          <w:sz w:val="24"/>
          <w:szCs w:val="24"/>
        </w:rPr>
        <w:t xml:space="preserve">ilgalaikės </w:t>
      </w:r>
      <w:r w:rsidRPr="00521357">
        <w:rPr>
          <w:rFonts w:cs="Times New Roman"/>
          <w:sz w:val="24"/>
          <w:szCs w:val="24"/>
        </w:rPr>
        <w:t>oro taršos KD2,5 tendencijos</w:t>
      </w:r>
      <w:r w:rsidR="00F26CF7" w:rsidRPr="00521357">
        <w:rPr>
          <w:rFonts w:cs="Times New Roman"/>
          <w:sz w:val="24"/>
          <w:szCs w:val="24"/>
        </w:rPr>
        <w:t xml:space="preserve"> Lietuvos</w:t>
      </w:r>
      <w:r w:rsidRPr="00521357">
        <w:rPr>
          <w:rFonts w:cs="Times New Roman"/>
          <w:sz w:val="24"/>
          <w:szCs w:val="24"/>
        </w:rPr>
        <w:t xml:space="preserve"> miestuose</w:t>
      </w:r>
    </w:p>
    <w:p w14:paraId="51FFE0FF" w14:textId="13B1F796" w:rsidR="00A44D40" w:rsidRPr="00521357" w:rsidRDefault="00A44D40" w:rsidP="001943C7">
      <w:pPr>
        <w:ind w:firstLine="567"/>
        <w:jc w:val="both"/>
        <w:rPr>
          <w:rFonts w:cs="Times New Roman"/>
          <w:szCs w:val="24"/>
        </w:rPr>
      </w:pPr>
      <w:r w:rsidRPr="00521357">
        <w:rPr>
          <w:rFonts w:cs="Times New Roman"/>
          <w:szCs w:val="24"/>
        </w:rPr>
        <w:t>Priešlaik</w:t>
      </w:r>
      <w:r w:rsidR="002818B1" w:rsidRPr="00521357">
        <w:rPr>
          <w:rFonts w:cs="Times New Roman"/>
          <w:szCs w:val="24"/>
        </w:rPr>
        <w:t>inės</w:t>
      </w:r>
      <w:r w:rsidRPr="00521357">
        <w:rPr>
          <w:rFonts w:cs="Times New Roman"/>
          <w:szCs w:val="24"/>
        </w:rPr>
        <w:t xml:space="preserve"> mirt</w:t>
      </w:r>
      <w:r w:rsidR="002818B1" w:rsidRPr="00521357">
        <w:rPr>
          <w:rFonts w:cs="Times New Roman"/>
          <w:szCs w:val="24"/>
        </w:rPr>
        <w:t>ys</w:t>
      </w:r>
      <w:r w:rsidRPr="00521357">
        <w:rPr>
          <w:rFonts w:cs="Times New Roman"/>
          <w:szCs w:val="24"/>
        </w:rPr>
        <w:t>, s</w:t>
      </w:r>
      <w:r w:rsidR="005C07D3" w:rsidRPr="00521357">
        <w:rPr>
          <w:rFonts w:cs="Times New Roman"/>
          <w:szCs w:val="24"/>
        </w:rPr>
        <w:t>ą</w:t>
      </w:r>
      <w:r w:rsidRPr="00521357">
        <w:rPr>
          <w:rFonts w:cs="Times New Roman"/>
          <w:szCs w:val="24"/>
        </w:rPr>
        <w:t>lygojam</w:t>
      </w:r>
      <w:r w:rsidR="004444D5" w:rsidRPr="00521357">
        <w:rPr>
          <w:rFonts w:cs="Times New Roman"/>
          <w:szCs w:val="24"/>
        </w:rPr>
        <w:t>o</w:t>
      </w:r>
      <w:r w:rsidRPr="00521357">
        <w:rPr>
          <w:rFonts w:cs="Times New Roman"/>
          <w:szCs w:val="24"/>
        </w:rPr>
        <w:t xml:space="preserve">s </w:t>
      </w:r>
      <w:r w:rsidR="0081076B" w:rsidRPr="00521357">
        <w:rPr>
          <w:rFonts w:cs="Times New Roman"/>
          <w:szCs w:val="24"/>
        </w:rPr>
        <w:t xml:space="preserve">ilgalaikės </w:t>
      </w:r>
      <w:r w:rsidRPr="00521357">
        <w:rPr>
          <w:rFonts w:cs="Times New Roman"/>
          <w:szCs w:val="24"/>
        </w:rPr>
        <w:t xml:space="preserve">oro taršos </w:t>
      </w:r>
      <w:r w:rsidR="00C61094" w:rsidRPr="00521357">
        <w:rPr>
          <w:rFonts w:cs="Times New Roman"/>
          <w:szCs w:val="24"/>
        </w:rPr>
        <w:t xml:space="preserve">kietosiomis dalelėmis </w:t>
      </w:r>
      <w:r w:rsidRPr="00521357">
        <w:rPr>
          <w:rFonts w:cs="Times New Roman"/>
          <w:szCs w:val="24"/>
        </w:rPr>
        <w:t xml:space="preserve">KD2,5, </w:t>
      </w:r>
      <w:r w:rsidR="00C61094" w:rsidRPr="00521357">
        <w:rPr>
          <w:rFonts w:cs="Times New Roman"/>
          <w:szCs w:val="24"/>
        </w:rPr>
        <w:t xml:space="preserve">Lietuvoje </w:t>
      </w:r>
      <w:r w:rsidRPr="00521357">
        <w:rPr>
          <w:rFonts w:cs="Times New Roman"/>
          <w:szCs w:val="24"/>
        </w:rPr>
        <w:t>didėjo</w:t>
      </w:r>
      <w:r w:rsidR="007E73A9" w:rsidRPr="00521357">
        <w:rPr>
          <w:rFonts w:cs="Times New Roman"/>
          <w:szCs w:val="24"/>
        </w:rPr>
        <w:t xml:space="preserve"> nuo 2015</w:t>
      </w:r>
      <w:r w:rsidR="00174CC3" w:rsidRPr="00521357">
        <w:rPr>
          <w:rFonts w:cs="Times New Roman"/>
          <w:szCs w:val="24"/>
        </w:rPr>
        <w:t>–</w:t>
      </w:r>
      <w:r w:rsidR="007E73A9" w:rsidRPr="00521357">
        <w:rPr>
          <w:rFonts w:cs="Times New Roman"/>
          <w:szCs w:val="24"/>
        </w:rPr>
        <w:t>2017 m.</w:t>
      </w:r>
      <w:r w:rsidRPr="00521357">
        <w:rPr>
          <w:rFonts w:cs="Times New Roman"/>
          <w:szCs w:val="24"/>
        </w:rPr>
        <w:t xml:space="preserve"> iki 2018</w:t>
      </w:r>
      <w:r w:rsidR="00174CC3" w:rsidRPr="00521357">
        <w:rPr>
          <w:rFonts w:cs="Times New Roman"/>
          <w:szCs w:val="24"/>
        </w:rPr>
        <w:t>–</w:t>
      </w:r>
      <w:r w:rsidRPr="00521357">
        <w:rPr>
          <w:rFonts w:cs="Times New Roman"/>
          <w:szCs w:val="24"/>
        </w:rPr>
        <w:t>2020 m. periodo, o vėliau ėmė mažėti iki 202</w:t>
      </w:r>
      <w:r w:rsidR="00DC6672" w:rsidRPr="00521357">
        <w:rPr>
          <w:rFonts w:cs="Times New Roman"/>
          <w:szCs w:val="24"/>
        </w:rPr>
        <w:t>1</w:t>
      </w:r>
      <w:r w:rsidR="00174CC3" w:rsidRPr="00521357">
        <w:rPr>
          <w:rFonts w:cs="Times New Roman"/>
          <w:szCs w:val="24"/>
        </w:rPr>
        <w:t>–</w:t>
      </w:r>
      <w:r w:rsidRPr="00521357">
        <w:rPr>
          <w:rFonts w:cs="Times New Roman"/>
          <w:szCs w:val="24"/>
        </w:rPr>
        <w:t>202</w:t>
      </w:r>
      <w:r w:rsidR="00DC6672" w:rsidRPr="00521357">
        <w:rPr>
          <w:rFonts w:cs="Times New Roman"/>
          <w:szCs w:val="24"/>
        </w:rPr>
        <w:t>3</w:t>
      </w:r>
      <w:r w:rsidRPr="00521357">
        <w:rPr>
          <w:rFonts w:cs="Times New Roman"/>
          <w:szCs w:val="24"/>
        </w:rPr>
        <w:t xml:space="preserve"> m. periodo (</w:t>
      </w:r>
      <w:r w:rsidR="002818B1" w:rsidRPr="00521357">
        <w:rPr>
          <w:rFonts w:cs="Times New Roman"/>
          <w:szCs w:val="24"/>
        </w:rPr>
        <w:t>2</w:t>
      </w:r>
      <w:r w:rsidR="001943C7" w:rsidRPr="00521357">
        <w:rPr>
          <w:rFonts w:cs="Times New Roman"/>
          <w:szCs w:val="24"/>
        </w:rPr>
        <w:t> </w:t>
      </w:r>
      <w:r w:rsidRPr="00521357">
        <w:rPr>
          <w:rFonts w:cs="Times New Roman"/>
          <w:szCs w:val="24"/>
        </w:rPr>
        <w:t>pav.)</w:t>
      </w:r>
      <w:r w:rsidR="00F31A76" w:rsidRPr="00521357">
        <w:rPr>
          <w:rFonts w:cs="Times New Roman"/>
          <w:szCs w:val="24"/>
        </w:rPr>
        <w:t>.</w:t>
      </w:r>
    </w:p>
    <w:p w14:paraId="60676D07" w14:textId="45AFF7A3" w:rsidR="00A44D40" w:rsidRPr="00521357" w:rsidRDefault="00DC6672">
      <w:pPr>
        <w:rPr>
          <w:rFonts w:cs="Times New Roman"/>
          <w:szCs w:val="24"/>
        </w:rPr>
      </w:pPr>
      <w:r w:rsidRPr="00521357">
        <w:rPr>
          <w:rFonts w:cs="Times New Roman"/>
          <w:noProof/>
          <w:szCs w:val="24"/>
          <w:lang w:eastAsia="lt-LT"/>
        </w:rPr>
        <w:lastRenderedPageBreak/>
        <w:drawing>
          <wp:inline distT="0" distB="0" distL="0" distR="0" wp14:anchorId="0ABC1457" wp14:editId="6C650533">
            <wp:extent cx="5410200" cy="2625090"/>
            <wp:effectExtent l="0" t="0" r="0" b="3810"/>
            <wp:docPr id="18969933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61263A-1CE8-7B9E-2BE3-A2D155DB2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9028D9" w14:textId="464E652E" w:rsidR="0064078E" w:rsidRPr="00521357" w:rsidRDefault="00BA5894" w:rsidP="00521357">
      <w:pPr>
        <w:ind w:firstLine="0"/>
        <w:jc w:val="both"/>
        <w:rPr>
          <w:rFonts w:cs="Times New Roman"/>
          <w:b/>
          <w:iCs/>
          <w:szCs w:val="24"/>
        </w:rPr>
      </w:pPr>
      <w:r w:rsidRPr="00521357">
        <w:rPr>
          <w:rFonts w:cs="Times New Roman"/>
          <w:b/>
          <w:szCs w:val="24"/>
        </w:rPr>
        <w:t>2</w:t>
      </w:r>
      <w:r w:rsidR="004444D5" w:rsidRPr="00521357">
        <w:rPr>
          <w:rFonts w:cs="Times New Roman"/>
          <w:b/>
          <w:szCs w:val="24"/>
        </w:rPr>
        <w:t xml:space="preserve"> pav. Priešlaikinių mirčių nuo oro taršos kietosiomis dalelėmis (KD2,5) skaičiaus  dinamika 2015</w:t>
      </w:r>
      <w:r w:rsidR="00174CC3" w:rsidRPr="00521357">
        <w:rPr>
          <w:rFonts w:cs="Times New Roman"/>
          <w:b/>
          <w:szCs w:val="24"/>
        </w:rPr>
        <w:t>–</w:t>
      </w:r>
      <w:r w:rsidR="004444D5" w:rsidRPr="00521357">
        <w:rPr>
          <w:rFonts w:cs="Times New Roman"/>
          <w:b/>
          <w:szCs w:val="24"/>
        </w:rPr>
        <w:t>202</w:t>
      </w:r>
      <w:r w:rsidR="00DC6672" w:rsidRPr="00521357">
        <w:rPr>
          <w:rFonts w:cs="Times New Roman"/>
          <w:b/>
          <w:szCs w:val="24"/>
        </w:rPr>
        <w:t>3</w:t>
      </w:r>
      <w:r w:rsidR="004444D5" w:rsidRPr="00521357">
        <w:rPr>
          <w:rFonts w:cs="Times New Roman"/>
          <w:b/>
          <w:szCs w:val="24"/>
        </w:rPr>
        <w:t xml:space="preserve"> m.</w:t>
      </w:r>
      <w:r w:rsidR="0064078E" w:rsidRPr="00521357">
        <w:rPr>
          <w:rFonts w:cs="Times New Roman"/>
          <w:b/>
          <w:i/>
          <w:szCs w:val="24"/>
        </w:rPr>
        <w:t xml:space="preserve"> </w:t>
      </w:r>
      <w:r w:rsidR="0064078E" w:rsidRPr="00521357">
        <w:rPr>
          <w:rFonts w:cs="Times New Roman"/>
          <w:b/>
          <w:iCs/>
          <w:color w:val="000000" w:themeColor="text1"/>
          <w:szCs w:val="24"/>
        </w:rPr>
        <w:t>(</w:t>
      </w:r>
      <w:r w:rsidR="0064078E" w:rsidRPr="00521357">
        <w:rPr>
          <w:rFonts w:cs="Times New Roman"/>
          <w:b/>
          <w:iCs/>
          <w:szCs w:val="24"/>
        </w:rPr>
        <w:t>C</w:t>
      </w:r>
      <w:r w:rsidR="0064078E" w:rsidRPr="00521357">
        <w:rPr>
          <w:rFonts w:cs="Times New Roman"/>
          <w:b/>
          <w:iCs/>
          <w:szCs w:val="24"/>
          <w:vertAlign w:val="subscript"/>
        </w:rPr>
        <w:t>0</w:t>
      </w:r>
      <w:r w:rsidR="0064078E" w:rsidRPr="00521357">
        <w:rPr>
          <w:rFonts w:cs="Times New Roman"/>
          <w:b/>
          <w:iCs/>
          <w:szCs w:val="24"/>
        </w:rPr>
        <w:t xml:space="preserve"> = 5 μg/m</w:t>
      </w:r>
      <w:r w:rsidR="0064078E" w:rsidRPr="00521357">
        <w:rPr>
          <w:rFonts w:cs="Times New Roman"/>
          <w:b/>
          <w:iCs/>
          <w:szCs w:val="24"/>
          <w:vertAlign w:val="superscript"/>
        </w:rPr>
        <w:t>3</w:t>
      </w:r>
      <w:r w:rsidR="0064078E" w:rsidRPr="00521357">
        <w:rPr>
          <w:rFonts w:cs="Times New Roman"/>
          <w:b/>
          <w:iCs/>
          <w:szCs w:val="24"/>
        </w:rPr>
        <w:t xml:space="preserve"> ir C</w:t>
      </w:r>
      <w:r w:rsidR="0064078E" w:rsidRPr="00521357">
        <w:rPr>
          <w:rFonts w:cs="Times New Roman"/>
          <w:b/>
          <w:iCs/>
          <w:szCs w:val="24"/>
          <w:vertAlign w:val="subscript"/>
        </w:rPr>
        <w:t>0</w:t>
      </w:r>
      <w:r w:rsidR="0064078E" w:rsidRPr="00521357">
        <w:rPr>
          <w:rFonts w:cs="Times New Roman"/>
          <w:b/>
          <w:iCs/>
          <w:szCs w:val="24"/>
        </w:rPr>
        <w:t xml:space="preserve"> = 10 </w:t>
      </w:r>
      <w:proofErr w:type="spellStart"/>
      <w:r w:rsidR="0064078E" w:rsidRPr="00521357">
        <w:rPr>
          <w:rFonts w:cs="Times New Roman"/>
          <w:b/>
          <w:iCs/>
          <w:szCs w:val="24"/>
        </w:rPr>
        <w:t>μg</w:t>
      </w:r>
      <w:proofErr w:type="spellEnd"/>
      <w:r w:rsidR="0064078E" w:rsidRPr="00521357">
        <w:rPr>
          <w:rFonts w:cs="Times New Roman"/>
          <w:b/>
          <w:iCs/>
          <w:szCs w:val="24"/>
        </w:rPr>
        <w:t>/m</w:t>
      </w:r>
      <w:r w:rsidR="0064078E" w:rsidRPr="00521357">
        <w:rPr>
          <w:rFonts w:cs="Times New Roman"/>
          <w:b/>
          <w:iCs/>
          <w:szCs w:val="24"/>
          <w:vertAlign w:val="superscript"/>
        </w:rPr>
        <w:t>3</w:t>
      </w:r>
      <w:r w:rsidR="0064078E" w:rsidRPr="00521357">
        <w:rPr>
          <w:rFonts w:cs="Times New Roman"/>
          <w:b/>
          <w:iCs/>
          <w:szCs w:val="24"/>
        </w:rPr>
        <w:t>)</w:t>
      </w:r>
    </w:p>
    <w:p w14:paraId="7ACE8FF0" w14:textId="347BBAD7" w:rsidR="004444D5" w:rsidRPr="00521357" w:rsidRDefault="004444D5" w:rsidP="004444D5">
      <w:pPr>
        <w:pStyle w:val="Antrat"/>
        <w:rPr>
          <w:rFonts w:cs="Times New Roman"/>
          <w:b/>
          <w:i w:val="0"/>
          <w:color w:val="auto"/>
          <w:sz w:val="24"/>
          <w:szCs w:val="24"/>
        </w:rPr>
      </w:pPr>
    </w:p>
    <w:p w14:paraId="0841FE44" w14:textId="7F4A4A6A" w:rsidR="005D2802" w:rsidRDefault="00DC6672" w:rsidP="00521357">
      <w:pPr>
        <w:pStyle w:val="Antrat2"/>
        <w:ind w:firstLine="0"/>
        <w:jc w:val="both"/>
        <w:rPr>
          <w:rFonts w:ascii="Times New Roman" w:hAnsi="Times New Roman" w:cs="Times New Roman"/>
          <w:color w:val="auto"/>
          <w:sz w:val="24"/>
          <w:szCs w:val="24"/>
        </w:rPr>
      </w:pPr>
      <w:r w:rsidRPr="00521357">
        <w:rPr>
          <w:rFonts w:ascii="Times New Roman" w:hAnsi="Times New Roman" w:cs="Times New Roman"/>
          <w:color w:val="auto"/>
          <w:sz w:val="24"/>
          <w:szCs w:val="24"/>
        </w:rPr>
        <w:t>Priešlaikinių mirčių ilgalaikė m</w:t>
      </w:r>
      <w:r w:rsidR="005D2802" w:rsidRPr="00521357">
        <w:rPr>
          <w:rFonts w:ascii="Times New Roman" w:hAnsi="Times New Roman" w:cs="Times New Roman"/>
          <w:color w:val="auto"/>
          <w:sz w:val="24"/>
          <w:szCs w:val="24"/>
        </w:rPr>
        <w:t>ažėjimo tendencija (kai skaičiavimuose taikyta</w:t>
      </w:r>
      <w:r w:rsidR="00BA5D47" w:rsidRPr="00521357">
        <w:rPr>
          <w:rFonts w:ascii="Times New Roman" w:hAnsi="Times New Roman" w:cs="Times New Roman"/>
          <w:color w:val="auto"/>
          <w:sz w:val="24"/>
          <w:szCs w:val="24"/>
        </w:rPr>
        <w:t>s KD2,5</w:t>
      </w:r>
      <w:r w:rsidR="005D2802" w:rsidRPr="00521357">
        <w:rPr>
          <w:rFonts w:ascii="Times New Roman" w:hAnsi="Times New Roman" w:cs="Times New Roman"/>
          <w:color w:val="auto"/>
          <w:sz w:val="24"/>
          <w:szCs w:val="24"/>
        </w:rPr>
        <w:t xml:space="preserve"> ribin</w:t>
      </w:r>
      <w:r w:rsidR="00BA5D47" w:rsidRPr="00521357">
        <w:rPr>
          <w:rFonts w:ascii="Times New Roman" w:hAnsi="Times New Roman" w:cs="Times New Roman"/>
          <w:color w:val="auto"/>
          <w:sz w:val="24"/>
          <w:szCs w:val="24"/>
        </w:rPr>
        <w:t>is</w:t>
      </w:r>
      <w:r w:rsidR="005D2802" w:rsidRPr="00521357">
        <w:rPr>
          <w:rFonts w:ascii="Times New Roman" w:hAnsi="Times New Roman" w:cs="Times New Roman"/>
          <w:color w:val="auto"/>
          <w:sz w:val="24"/>
          <w:szCs w:val="24"/>
        </w:rPr>
        <w:t xml:space="preserve"> </w:t>
      </w:r>
      <w:r w:rsidR="00BA5D47" w:rsidRPr="00521357">
        <w:rPr>
          <w:rFonts w:ascii="Times New Roman" w:hAnsi="Times New Roman" w:cs="Times New Roman"/>
          <w:color w:val="auto"/>
          <w:sz w:val="24"/>
          <w:szCs w:val="24"/>
        </w:rPr>
        <w:t>dydis</w:t>
      </w:r>
      <w:r w:rsidR="005D2802" w:rsidRPr="00521357">
        <w:rPr>
          <w:rFonts w:ascii="Times New Roman" w:hAnsi="Times New Roman" w:cs="Times New Roman"/>
          <w:color w:val="auto"/>
          <w:sz w:val="24"/>
          <w:szCs w:val="24"/>
        </w:rPr>
        <w:t xml:space="preserve"> </w:t>
      </w:r>
      <w:r w:rsidR="005D2802" w:rsidRPr="00521357">
        <w:rPr>
          <w:rFonts w:ascii="Times New Roman" w:hAnsi="Times New Roman" w:cs="Times New Roman"/>
          <w:b/>
          <w:color w:val="auto"/>
          <w:sz w:val="24"/>
          <w:szCs w:val="24"/>
        </w:rPr>
        <w:t>C</w:t>
      </w:r>
      <w:r w:rsidR="005D2802" w:rsidRPr="00521357">
        <w:rPr>
          <w:rFonts w:ascii="Times New Roman" w:hAnsi="Times New Roman" w:cs="Times New Roman"/>
          <w:b/>
          <w:color w:val="auto"/>
          <w:sz w:val="24"/>
          <w:szCs w:val="24"/>
          <w:vertAlign w:val="subscript"/>
        </w:rPr>
        <w:t>0</w:t>
      </w:r>
      <w:r w:rsidR="005D2802" w:rsidRPr="00521357">
        <w:rPr>
          <w:rFonts w:ascii="Times New Roman" w:hAnsi="Times New Roman" w:cs="Times New Roman"/>
          <w:b/>
          <w:color w:val="auto"/>
          <w:sz w:val="24"/>
          <w:szCs w:val="24"/>
        </w:rPr>
        <w:t xml:space="preserve"> = 10 </w:t>
      </w:r>
      <w:proofErr w:type="spellStart"/>
      <w:r w:rsidR="005D2802" w:rsidRPr="00521357">
        <w:rPr>
          <w:rFonts w:ascii="Times New Roman" w:hAnsi="Times New Roman" w:cs="Times New Roman"/>
          <w:b/>
          <w:color w:val="auto"/>
          <w:sz w:val="24"/>
          <w:szCs w:val="24"/>
        </w:rPr>
        <w:t>μg</w:t>
      </w:r>
      <w:proofErr w:type="spellEnd"/>
      <w:r w:rsidR="005D2802" w:rsidRPr="00521357">
        <w:rPr>
          <w:rFonts w:ascii="Times New Roman" w:hAnsi="Times New Roman" w:cs="Times New Roman"/>
          <w:b/>
          <w:color w:val="auto"/>
          <w:sz w:val="24"/>
          <w:szCs w:val="24"/>
        </w:rPr>
        <w:t>/m</w:t>
      </w:r>
      <w:r w:rsidR="005D2802" w:rsidRPr="00521357">
        <w:rPr>
          <w:rFonts w:ascii="Times New Roman" w:hAnsi="Times New Roman" w:cs="Times New Roman"/>
          <w:b/>
          <w:color w:val="auto"/>
          <w:sz w:val="24"/>
          <w:szCs w:val="24"/>
          <w:vertAlign w:val="superscript"/>
        </w:rPr>
        <w:t>3</w:t>
      </w:r>
      <w:r w:rsidR="005D2802" w:rsidRPr="00521357">
        <w:rPr>
          <w:rFonts w:ascii="Times New Roman" w:hAnsi="Times New Roman" w:cs="Times New Roman"/>
          <w:b/>
          <w:color w:val="auto"/>
          <w:sz w:val="24"/>
          <w:szCs w:val="24"/>
        </w:rPr>
        <w:t>)</w:t>
      </w:r>
      <w:r w:rsidR="00BA5D47" w:rsidRPr="00521357">
        <w:rPr>
          <w:rFonts w:ascii="Times New Roman" w:hAnsi="Times New Roman" w:cs="Times New Roman"/>
          <w:color w:val="auto"/>
          <w:sz w:val="24"/>
          <w:szCs w:val="24"/>
        </w:rPr>
        <w:t xml:space="preserve">, </w:t>
      </w:r>
      <w:r w:rsidR="005D2802" w:rsidRPr="00521357">
        <w:rPr>
          <w:rFonts w:ascii="Times New Roman" w:hAnsi="Times New Roman" w:cs="Times New Roman"/>
          <w:color w:val="auto"/>
          <w:sz w:val="24"/>
          <w:szCs w:val="24"/>
        </w:rPr>
        <w:t xml:space="preserve">lyginant </w:t>
      </w:r>
      <w:r w:rsidRPr="00521357">
        <w:rPr>
          <w:rFonts w:ascii="Times New Roman" w:hAnsi="Times New Roman" w:cs="Times New Roman"/>
          <w:color w:val="auto"/>
          <w:sz w:val="24"/>
          <w:szCs w:val="24"/>
        </w:rPr>
        <w:t>2021</w:t>
      </w:r>
      <w:r w:rsidR="000E282C">
        <w:rPr>
          <w:rFonts w:cs="Times New Roman"/>
          <w:iCs/>
          <w:szCs w:val="24"/>
        </w:rPr>
        <w:t>–</w:t>
      </w:r>
      <w:r w:rsidRPr="00521357">
        <w:rPr>
          <w:rFonts w:ascii="Times New Roman" w:hAnsi="Times New Roman" w:cs="Times New Roman"/>
          <w:color w:val="auto"/>
          <w:sz w:val="24"/>
          <w:szCs w:val="24"/>
        </w:rPr>
        <w:t xml:space="preserve">2023 m. periodą su </w:t>
      </w:r>
      <w:r w:rsidR="005D2802" w:rsidRPr="00521357">
        <w:rPr>
          <w:rFonts w:ascii="Times New Roman" w:hAnsi="Times New Roman" w:cs="Times New Roman"/>
          <w:color w:val="auto"/>
          <w:sz w:val="24"/>
          <w:szCs w:val="24"/>
        </w:rPr>
        <w:t>2015</w:t>
      </w:r>
      <w:r w:rsidR="000E282C">
        <w:rPr>
          <w:rFonts w:cs="Times New Roman"/>
          <w:iCs/>
          <w:szCs w:val="24"/>
        </w:rPr>
        <w:t>–</w:t>
      </w:r>
      <w:r w:rsidR="005D2802" w:rsidRPr="00521357">
        <w:rPr>
          <w:rFonts w:ascii="Times New Roman" w:hAnsi="Times New Roman" w:cs="Times New Roman"/>
          <w:color w:val="auto"/>
          <w:sz w:val="24"/>
          <w:szCs w:val="24"/>
        </w:rPr>
        <w:t>2017 m. period</w:t>
      </w:r>
      <w:r w:rsidRPr="00521357">
        <w:rPr>
          <w:rFonts w:ascii="Times New Roman" w:hAnsi="Times New Roman" w:cs="Times New Roman"/>
          <w:color w:val="auto"/>
          <w:sz w:val="24"/>
          <w:szCs w:val="24"/>
        </w:rPr>
        <w:t>u</w:t>
      </w:r>
      <w:r w:rsidR="00BA5D47" w:rsidRPr="00521357">
        <w:rPr>
          <w:rFonts w:ascii="Times New Roman" w:hAnsi="Times New Roman" w:cs="Times New Roman"/>
          <w:color w:val="auto"/>
          <w:sz w:val="24"/>
          <w:szCs w:val="24"/>
        </w:rPr>
        <w:t>,</w:t>
      </w:r>
      <w:r w:rsidR="005D2802" w:rsidRPr="00521357">
        <w:rPr>
          <w:rFonts w:ascii="Times New Roman" w:hAnsi="Times New Roman" w:cs="Times New Roman"/>
          <w:color w:val="auto"/>
          <w:sz w:val="24"/>
          <w:szCs w:val="24"/>
        </w:rPr>
        <w:t xml:space="preserve"> stebima </w:t>
      </w:r>
      <w:r w:rsidR="004F1223" w:rsidRPr="00521357">
        <w:rPr>
          <w:rFonts w:ascii="Times New Roman" w:hAnsi="Times New Roman" w:cs="Times New Roman"/>
          <w:color w:val="auto"/>
          <w:sz w:val="24"/>
          <w:szCs w:val="24"/>
        </w:rPr>
        <w:t>visuose</w:t>
      </w:r>
      <w:r w:rsidRPr="00521357">
        <w:rPr>
          <w:rFonts w:ascii="Times New Roman" w:hAnsi="Times New Roman" w:cs="Times New Roman"/>
          <w:color w:val="auto"/>
          <w:sz w:val="24"/>
          <w:szCs w:val="24"/>
        </w:rPr>
        <w:t xml:space="preserve"> miestuose</w:t>
      </w:r>
      <w:r w:rsidR="004F1223" w:rsidRPr="00521357">
        <w:rPr>
          <w:rFonts w:ascii="Times New Roman" w:hAnsi="Times New Roman" w:cs="Times New Roman"/>
          <w:color w:val="auto"/>
          <w:sz w:val="24"/>
          <w:szCs w:val="24"/>
        </w:rPr>
        <w:t>,</w:t>
      </w:r>
      <w:r w:rsidR="00BA5D47" w:rsidRPr="00521357">
        <w:rPr>
          <w:rFonts w:ascii="Times New Roman" w:hAnsi="Times New Roman" w:cs="Times New Roman"/>
          <w:color w:val="auto"/>
          <w:sz w:val="24"/>
          <w:szCs w:val="24"/>
        </w:rPr>
        <w:t xml:space="preserve"> </w:t>
      </w:r>
      <w:r w:rsidR="004F1223" w:rsidRPr="00521357">
        <w:rPr>
          <w:rFonts w:ascii="Times New Roman" w:hAnsi="Times New Roman" w:cs="Times New Roman"/>
          <w:color w:val="auto"/>
          <w:sz w:val="24"/>
          <w:szCs w:val="24"/>
        </w:rPr>
        <w:t>išskyrus Panevėžį</w:t>
      </w:r>
      <w:r w:rsidRPr="00521357">
        <w:rPr>
          <w:rFonts w:ascii="Times New Roman" w:hAnsi="Times New Roman" w:cs="Times New Roman"/>
          <w:color w:val="auto"/>
          <w:sz w:val="24"/>
          <w:szCs w:val="24"/>
        </w:rPr>
        <w:t xml:space="preserve"> ir </w:t>
      </w:r>
      <w:r w:rsidR="004F1223" w:rsidRPr="00521357">
        <w:rPr>
          <w:rFonts w:ascii="Times New Roman" w:hAnsi="Times New Roman" w:cs="Times New Roman"/>
          <w:color w:val="auto"/>
          <w:sz w:val="24"/>
          <w:szCs w:val="24"/>
        </w:rPr>
        <w:t>Šiaulius</w:t>
      </w:r>
      <w:r w:rsidR="00BA5D47" w:rsidRPr="00521357">
        <w:rPr>
          <w:rFonts w:ascii="Times New Roman" w:hAnsi="Times New Roman" w:cs="Times New Roman"/>
          <w:color w:val="auto"/>
          <w:sz w:val="24"/>
          <w:szCs w:val="24"/>
        </w:rPr>
        <w:t xml:space="preserve"> (3 pav.)</w:t>
      </w:r>
      <w:r w:rsidR="004F1223" w:rsidRPr="00521357">
        <w:rPr>
          <w:rFonts w:ascii="Times New Roman" w:hAnsi="Times New Roman" w:cs="Times New Roman"/>
          <w:color w:val="auto"/>
          <w:sz w:val="24"/>
          <w:szCs w:val="24"/>
        </w:rPr>
        <w:t>.</w:t>
      </w:r>
    </w:p>
    <w:p w14:paraId="2877CF34" w14:textId="77777777" w:rsidR="00521357" w:rsidRPr="00521357" w:rsidRDefault="00521357" w:rsidP="00521357"/>
    <w:p w14:paraId="0CEF4B45" w14:textId="197BABE8" w:rsidR="005D2802" w:rsidRPr="00521357" w:rsidRDefault="00DC6672" w:rsidP="00DC6672">
      <w:pPr>
        <w:ind w:firstLine="0"/>
        <w:jc w:val="both"/>
        <w:rPr>
          <w:rFonts w:cs="Times New Roman"/>
          <w:szCs w:val="24"/>
        </w:rPr>
      </w:pPr>
      <w:r w:rsidRPr="00521357">
        <w:rPr>
          <w:rFonts w:cs="Times New Roman"/>
          <w:noProof/>
          <w:szCs w:val="24"/>
          <w:lang w:eastAsia="lt-LT"/>
        </w:rPr>
        <w:drawing>
          <wp:inline distT="0" distB="0" distL="0" distR="0" wp14:anchorId="387EA525" wp14:editId="6D924951">
            <wp:extent cx="4572000" cy="2743200"/>
            <wp:effectExtent l="0" t="0" r="0" b="0"/>
            <wp:docPr id="700921031"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B9DC418-0670-F79B-926D-87BBF2461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E954BB" w14:textId="397FDE19" w:rsidR="00A7166D" w:rsidRPr="00521357" w:rsidRDefault="00A7166D">
      <w:pPr>
        <w:rPr>
          <w:rFonts w:cs="Times New Roman"/>
          <w:szCs w:val="24"/>
        </w:rPr>
      </w:pPr>
    </w:p>
    <w:p w14:paraId="2E88B386" w14:textId="5F2EF6DC" w:rsidR="00975FBC" w:rsidRPr="00521357" w:rsidRDefault="00BA5894" w:rsidP="00975FBC">
      <w:pPr>
        <w:ind w:firstLine="0"/>
        <w:jc w:val="both"/>
        <w:rPr>
          <w:rFonts w:cs="Times New Roman"/>
          <w:b/>
          <w:szCs w:val="24"/>
        </w:rPr>
      </w:pPr>
      <w:bookmarkStart w:id="6" w:name="_Hlk154575804"/>
      <w:r w:rsidRPr="00521357">
        <w:rPr>
          <w:rFonts w:cs="Times New Roman"/>
          <w:b/>
          <w:szCs w:val="24"/>
        </w:rPr>
        <w:t>3 pav. Priešlaikinių mirčių dinamika Lietuvos miestuose 2015</w:t>
      </w:r>
      <w:r w:rsidR="00174CC3" w:rsidRPr="00521357">
        <w:rPr>
          <w:rFonts w:cs="Times New Roman"/>
          <w:b/>
          <w:szCs w:val="24"/>
        </w:rPr>
        <w:t>–</w:t>
      </w:r>
      <w:r w:rsidRPr="00521357">
        <w:rPr>
          <w:rFonts w:cs="Times New Roman"/>
          <w:b/>
          <w:szCs w:val="24"/>
        </w:rPr>
        <w:t>2022 m.</w:t>
      </w:r>
      <w:r w:rsidR="00975FBC" w:rsidRPr="00521357">
        <w:rPr>
          <w:rFonts w:cs="Times New Roman"/>
          <w:b/>
          <w:szCs w:val="24"/>
        </w:rPr>
        <w:t xml:space="preserve"> laikotarpiu, kai ir C</w:t>
      </w:r>
      <w:r w:rsidR="00975FBC" w:rsidRPr="00521357">
        <w:rPr>
          <w:rFonts w:cs="Times New Roman"/>
          <w:b/>
          <w:szCs w:val="24"/>
          <w:vertAlign w:val="subscript"/>
        </w:rPr>
        <w:t>0</w:t>
      </w:r>
      <w:r w:rsidR="00975FBC" w:rsidRPr="00521357">
        <w:rPr>
          <w:rFonts w:cs="Times New Roman"/>
          <w:b/>
          <w:szCs w:val="24"/>
        </w:rPr>
        <w:t xml:space="preserve"> = 10 μg/m</w:t>
      </w:r>
      <w:r w:rsidR="00975FBC" w:rsidRPr="00521357">
        <w:rPr>
          <w:rFonts w:cs="Times New Roman"/>
          <w:b/>
          <w:szCs w:val="24"/>
          <w:vertAlign w:val="superscript"/>
        </w:rPr>
        <w:t>3</w:t>
      </w:r>
      <w:r w:rsidR="00975FBC" w:rsidRPr="00521357">
        <w:rPr>
          <w:rFonts w:cs="Times New Roman"/>
          <w:b/>
          <w:szCs w:val="24"/>
        </w:rPr>
        <w:t xml:space="preserve"> )</w:t>
      </w:r>
    </w:p>
    <w:p w14:paraId="7817AF93" w14:textId="77777777" w:rsidR="00DC6672" w:rsidRPr="00521357" w:rsidRDefault="00DC6672" w:rsidP="00975FBC">
      <w:pPr>
        <w:ind w:firstLine="0"/>
        <w:jc w:val="both"/>
        <w:rPr>
          <w:rFonts w:cs="Times New Roman"/>
          <w:b/>
          <w:szCs w:val="24"/>
        </w:rPr>
      </w:pPr>
    </w:p>
    <w:p w14:paraId="5C9AE311" w14:textId="6015CD40" w:rsidR="005D2802" w:rsidRPr="00521357" w:rsidRDefault="00E414BF" w:rsidP="005D2802">
      <w:pPr>
        <w:ind w:firstLine="0"/>
        <w:jc w:val="both"/>
        <w:rPr>
          <w:rFonts w:cs="Times New Roman"/>
          <w:szCs w:val="24"/>
        </w:rPr>
      </w:pPr>
      <w:r w:rsidRPr="00521357">
        <w:rPr>
          <w:rFonts w:cs="Times New Roman"/>
          <w:szCs w:val="24"/>
        </w:rPr>
        <w:t>Priešlaikinių mirčių m</w:t>
      </w:r>
      <w:r w:rsidR="005D2802" w:rsidRPr="00521357">
        <w:rPr>
          <w:rFonts w:cs="Times New Roman"/>
          <w:szCs w:val="24"/>
        </w:rPr>
        <w:t>ažėjimo tendencija (kai skaičiavimuose taikyta</w:t>
      </w:r>
      <w:r w:rsidRPr="00521357">
        <w:rPr>
          <w:rFonts w:cs="Times New Roman"/>
          <w:szCs w:val="24"/>
        </w:rPr>
        <w:t>s</w:t>
      </w:r>
      <w:r w:rsidR="005D2802" w:rsidRPr="00521357">
        <w:rPr>
          <w:rFonts w:cs="Times New Roman"/>
          <w:szCs w:val="24"/>
        </w:rPr>
        <w:t xml:space="preserve"> </w:t>
      </w:r>
      <w:r w:rsidRPr="00521357">
        <w:rPr>
          <w:rFonts w:cs="Times New Roman"/>
          <w:szCs w:val="24"/>
        </w:rPr>
        <w:t xml:space="preserve">KD2,5 </w:t>
      </w:r>
      <w:r w:rsidR="005D2802" w:rsidRPr="00521357">
        <w:rPr>
          <w:rFonts w:cs="Times New Roman"/>
          <w:szCs w:val="24"/>
        </w:rPr>
        <w:t>ribin</w:t>
      </w:r>
      <w:r w:rsidRPr="00521357">
        <w:rPr>
          <w:rFonts w:cs="Times New Roman"/>
          <w:szCs w:val="24"/>
        </w:rPr>
        <w:t>is</w:t>
      </w:r>
      <w:r w:rsidR="005D2802" w:rsidRPr="00521357">
        <w:rPr>
          <w:rFonts w:cs="Times New Roman"/>
          <w:szCs w:val="24"/>
        </w:rPr>
        <w:t xml:space="preserve"> </w:t>
      </w:r>
      <w:r w:rsidRPr="00521357">
        <w:rPr>
          <w:rFonts w:cs="Times New Roman"/>
          <w:szCs w:val="24"/>
        </w:rPr>
        <w:t>dydis</w:t>
      </w:r>
      <w:r w:rsidR="005D2802" w:rsidRPr="00521357">
        <w:rPr>
          <w:rFonts w:cs="Times New Roman"/>
          <w:szCs w:val="24"/>
        </w:rPr>
        <w:t xml:space="preserve"> </w:t>
      </w:r>
      <w:r w:rsidR="005D2802" w:rsidRPr="00521357">
        <w:rPr>
          <w:rFonts w:cs="Times New Roman"/>
          <w:b/>
          <w:szCs w:val="24"/>
        </w:rPr>
        <w:t>C</w:t>
      </w:r>
      <w:r w:rsidR="005D2802" w:rsidRPr="00521357">
        <w:rPr>
          <w:rFonts w:cs="Times New Roman"/>
          <w:b/>
          <w:szCs w:val="24"/>
          <w:vertAlign w:val="subscript"/>
        </w:rPr>
        <w:t>0</w:t>
      </w:r>
      <w:r w:rsidR="005D2802" w:rsidRPr="00521357">
        <w:rPr>
          <w:rFonts w:cs="Times New Roman"/>
          <w:b/>
          <w:szCs w:val="24"/>
        </w:rPr>
        <w:t xml:space="preserve"> = 5</w:t>
      </w:r>
      <w:r w:rsidR="002E66F9">
        <w:rPr>
          <w:rFonts w:cs="Times New Roman"/>
          <w:b/>
          <w:szCs w:val="24"/>
        </w:rPr>
        <w:t> </w:t>
      </w:r>
      <w:proofErr w:type="spellStart"/>
      <w:r w:rsidR="005D2802" w:rsidRPr="00521357">
        <w:rPr>
          <w:rFonts w:cs="Times New Roman"/>
          <w:b/>
          <w:szCs w:val="24"/>
        </w:rPr>
        <w:t>μg</w:t>
      </w:r>
      <w:proofErr w:type="spellEnd"/>
      <w:r w:rsidR="005D2802" w:rsidRPr="00521357">
        <w:rPr>
          <w:rFonts w:cs="Times New Roman"/>
          <w:b/>
          <w:szCs w:val="24"/>
        </w:rPr>
        <w:t>/m</w:t>
      </w:r>
      <w:r w:rsidR="005D2802" w:rsidRPr="00521357">
        <w:rPr>
          <w:rFonts w:cs="Times New Roman"/>
          <w:b/>
          <w:szCs w:val="24"/>
          <w:vertAlign w:val="superscript"/>
        </w:rPr>
        <w:t>3</w:t>
      </w:r>
      <w:r w:rsidR="005D2802" w:rsidRPr="00521357">
        <w:rPr>
          <w:rFonts w:cs="Times New Roman"/>
          <w:b/>
          <w:szCs w:val="24"/>
        </w:rPr>
        <w:t>)</w:t>
      </w:r>
      <w:r w:rsidRPr="00521357">
        <w:rPr>
          <w:rFonts w:cs="Times New Roman"/>
          <w:b/>
          <w:szCs w:val="24"/>
        </w:rPr>
        <w:t>,</w:t>
      </w:r>
      <w:r w:rsidR="005D2802" w:rsidRPr="00521357">
        <w:rPr>
          <w:rFonts w:cs="Times New Roman"/>
          <w:szCs w:val="24"/>
        </w:rPr>
        <w:t xml:space="preserve"> lyginant </w:t>
      </w:r>
      <w:r w:rsidR="00DC6672" w:rsidRPr="00521357">
        <w:rPr>
          <w:rFonts w:cs="Times New Roman"/>
          <w:szCs w:val="24"/>
        </w:rPr>
        <w:t>2021</w:t>
      </w:r>
      <w:r w:rsidR="000E282C">
        <w:rPr>
          <w:rFonts w:cs="Times New Roman"/>
          <w:iCs/>
          <w:szCs w:val="24"/>
        </w:rPr>
        <w:t>–</w:t>
      </w:r>
      <w:r w:rsidR="00DC6672" w:rsidRPr="00521357">
        <w:rPr>
          <w:rFonts w:cs="Times New Roman"/>
          <w:szCs w:val="24"/>
        </w:rPr>
        <w:t xml:space="preserve">2023 m. periodą su </w:t>
      </w:r>
      <w:r w:rsidR="005D2802" w:rsidRPr="00521357">
        <w:rPr>
          <w:rFonts w:cs="Times New Roman"/>
          <w:szCs w:val="24"/>
        </w:rPr>
        <w:t>2015</w:t>
      </w:r>
      <w:r w:rsidR="000E282C">
        <w:rPr>
          <w:rFonts w:cs="Times New Roman"/>
          <w:iCs/>
          <w:szCs w:val="24"/>
        </w:rPr>
        <w:t>–</w:t>
      </w:r>
      <w:r w:rsidR="005D2802" w:rsidRPr="00521357">
        <w:rPr>
          <w:rFonts w:cs="Times New Roman"/>
          <w:szCs w:val="24"/>
        </w:rPr>
        <w:t>2017 m. perio</w:t>
      </w:r>
      <w:r w:rsidR="00DC6672" w:rsidRPr="00521357">
        <w:rPr>
          <w:rFonts w:cs="Times New Roman"/>
          <w:szCs w:val="24"/>
        </w:rPr>
        <w:t>du,</w:t>
      </w:r>
      <w:r w:rsidR="005D2802" w:rsidRPr="00521357">
        <w:rPr>
          <w:rFonts w:cs="Times New Roman"/>
          <w:szCs w:val="24"/>
        </w:rPr>
        <w:t xml:space="preserve"> stebima </w:t>
      </w:r>
      <w:r w:rsidR="00323651" w:rsidRPr="00521357">
        <w:rPr>
          <w:rFonts w:cs="Times New Roman"/>
          <w:szCs w:val="24"/>
        </w:rPr>
        <w:t xml:space="preserve">visuose </w:t>
      </w:r>
      <w:r w:rsidR="005D2802" w:rsidRPr="00521357">
        <w:rPr>
          <w:rFonts w:cs="Times New Roman"/>
          <w:szCs w:val="24"/>
        </w:rPr>
        <w:t xml:space="preserve">miestuose, </w:t>
      </w:r>
      <w:r w:rsidR="00323651" w:rsidRPr="00521357">
        <w:rPr>
          <w:rFonts w:cs="Times New Roman"/>
          <w:szCs w:val="24"/>
        </w:rPr>
        <w:t>išskyrus Jonavą, Kėdainius, Panevėžį ir Šiaulius</w:t>
      </w:r>
      <w:r w:rsidR="00BA5D47" w:rsidRPr="00521357">
        <w:rPr>
          <w:rFonts w:cs="Times New Roman"/>
          <w:szCs w:val="24"/>
        </w:rPr>
        <w:t xml:space="preserve"> (4 pav</w:t>
      </w:r>
      <w:r w:rsidR="00323651" w:rsidRPr="00521357">
        <w:rPr>
          <w:rFonts w:cs="Times New Roman"/>
          <w:szCs w:val="24"/>
        </w:rPr>
        <w:t>.</w:t>
      </w:r>
      <w:r w:rsidR="00BA5D47" w:rsidRPr="00521357">
        <w:rPr>
          <w:rFonts w:cs="Times New Roman"/>
          <w:szCs w:val="24"/>
        </w:rPr>
        <w:t>)</w:t>
      </w:r>
    </w:p>
    <w:p w14:paraId="3F4EEB3F" w14:textId="77777777" w:rsidR="005D2802" w:rsidRPr="00521357" w:rsidRDefault="005D2802" w:rsidP="00975FBC">
      <w:pPr>
        <w:ind w:firstLine="0"/>
        <w:jc w:val="both"/>
        <w:rPr>
          <w:rFonts w:cs="Times New Roman"/>
          <w:b/>
          <w:szCs w:val="24"/>
        </w:rPr>
      </w:pPr>
    </w:p>
    <w:p w14:paraId="0ECFD4F4" w14:textId="7E01AD01" w:rsidR="005D2802" w:rsidRPr="00521357" w:rsidRDefault="003757FA" w:rsidP="00975FBC">
      <w:pPr>
        <w:ind w:firstLine="0"/>
        <w:jc w:val="both"/>
        <w:rPr>
          <w:rFonts w:cs="Times New Roman"/>
          <w:b/>
          <w:szCs w:val="24"/>
        </w:rPr>
      </w:pPr>
      <w:r w:rsidRPr="00521357">
        <w:rPr>
          <w:rFonts w:cs="Times New Roman"/>
          <w:noProof/>
          <w:szCs w:val="24"/>
          <w:lang w:eastAsia="lt-LT"/>
        </w:rPr>
        <w:lastRenderedPageBreak/>
        <w:drawing>
          <wp:inline distT="0" distB="0" distL="0" distR="0" wp14:anchorId="2156EE42" wp14:editId="1EFF2D39">
            <wp:extent cx="4572000" cy="2743200"/>
            <wp:effectExtent l="0" t="0" r="0" b="0"/>
            <wp:docPr id="1998491784"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967D099-631C-DFFF-3C07-9C12753BED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23EB17E" w14:textId="41C4EBB3" w:rsidR="00975FBC" w:rsidRPr="00521357" w:rsidRDefault="00975FBC" w:rsidP="00975FBC">
      <w:pPr>
        <w:ind w:firstLine="0"/>
        <w:jc w:val="both"/>
        <w:rPr>
          <w:rFonts w:cs="Times New Roman"/>
          <w:b/>
          <w:szCs w:val="24"/>
        </w:rPr>
      </w:pPr>
    </w:p>
    <w:p w14:paraId="59845571" w14:textId="3F6FFD1F" w:rsidR="00975FBC" w:rsidRPr="00521357" w:rsidRDefault="00BA5D47" w:rsidP="00975FBC">
      <w:pPr>
        <w:ind w:firstLine="0"/>
        <w:jc w:val="both"/>
        <w:rPr>
          <w:rFonts w:cs="Times New Roman"/>
          <w:b/>
          <w:szCs w:val="24"/>
        </w:rPr>
      </w:pPr>
      <w:r w:rsidRPr="00521357">
        <w:rPr>
          <w:rFonts w:cs="Times New Roman"/>
          <w:b/>
          <w:szCs w:val="24"/>
        </w:rPr>
        <w:t>4</w:t>
      </w:r>
      <w:r w:rsidR="00975FBC" w:rsidRPr="00521357">
        <w:rPr>
          <w:rFonts w:cs="Times New Roman"/>
          <w:b/>
          <w:szCs w:val="24"/>
        </w:rPr>
        <w:t xml:space="preserve"> pav. Priešlaikinių mirčių dinamika Lietuvos miestuose 2015–202</w:t>
      </w:r>
      <w:r w:rsidR="003757FA" w:rsidRPr="00521357">
        <w:rPr>
          <w:rFonts w:cs="Times New Roman"/>
          <w:b/>
          <w:szCs w:val="24"/>
        </w:rPr>
        <w:t>3</w:t>
      </w:r>
      <w:r w:rsidR="00975FBC" w:rsidRPr="00521357">
        <w:rPr>
          <w:rFonts w:cs="Times New Roman"/>
          <w:b/>
          <w:szCs w:val="24"/>
        </w:rPr>
        <w:t xml:space="preserve"> m. laikotarpiu, kai ir C</w:t>
      </w:r>
      <w:r w:rsidR="00975FBC" w:rsidRPr="00521357">
        <w:rPr>
          <w:rFonts w:cs="Times New Roman"/>
          <w:b/>
          <w:szCs w:val="24"/>
          <w:vertAlign w:val="subscript"/>
        </w:rPr>
        <w:t>0</w:t>
      </w:r>
      <w:r w:rsidR="00975FBC" w:rsidRPr="00521357">
        <w:rPr>
          <w:rFonts w:cs="Times New Roman"/>
          <w:b/>
          <w:szCs w:val="24"/>
        </w:rPr>
        <w:t xml:space="preserve"> = 5 </w:t>
      </w:r>
      <w:proofErr w:type="spellStart"/>
      <w:r w:rsidR="00975FBC" w:rsidRPr="00521357">
        <w:rPr>
          <w:rFonts w:cs="Times New Roman"/>
          <w:b/>
          <w:szCs w:val="24"/>
        </w:rPr>
        <w:t>μg</w:t>
      </w:r>
      <w:proofErr w:type="spellEnd"/>
      <w:r w:rsidR="00975FBC" w:rsidRPr="00521357">
        <w:rPr>
          <w:rFonts w:cs="Times New Roman"/>
          <w:b/>
          <w:szCs w:val="24"/>
        </w:rPr>
        <w:t>/m</w:t>
      </w:r>
      <w:r w:rsidR="00975FBC" w:rsidRPr="00521357">
        <w:rPr>
          <w:rFonts w:cs="Times New Roman"/>
          <w:b/>
          <w:szCs w:val="24"/>
          <w:vertAlign w:val="superscript"/>
        </w:rPr>
        <w:t>3</w:t>
      </w:r>
      <w:r w:rsidR="00975FBC" w:rsidRPr="00521357">
        <w:rPr>
          <w:rFonts w:cs="Times New Roman"/>
          <w:b/>
          <w:szCs w:val="24"/>
        </w:rPr>
        <w:t>)</w:t>
      </w:r>
    </w:p>
    <w:p w14:paraId="06AC2ABA" w14:textId="77777777" w:rsidR="00BA5D47" w:rsidRPr="00521357" w:rsidRDefault="00BA5D47" w:rsidP="00975FBC">
      <w:pPr>
        <w:ind w:firstLine="0"/>
        <w:jc w:val="both"/>
        <w:rPr>
          <w:rFonts w:cs="Times New Roman"/>
          <w:b/>
          <w:szCs w:val="24"/>
        </w:rPr>
      </w:pPr>
    </w:p>
    <w:bookmarkEnd w:id="6"/>
    <w:p w14:paraId="0C67B31F" w14:textId="1998AC72" w:rsidR="00464913" w:rsidRPr="00521357" w:rsidRDefault="003E0E58" w:rsidP="00BA5D47">
      <w:pPr>
        <w:ind w:firstLine="0"/>
        <w:jc w:val="both"/>
        <w:rPr>
          <w:rFonts w:cs="Times New Roman"/>
          <w:szCs w:val="24"/>
        </w:rPr>
      </w:pPr>
      <w:r w:rsidRPr="00521357">
        <w:rPr>
          <w:rFonts w:cs="Times New Roman"/>
          <w:szCs w:val="24"/>
        </w:rPr>
        <w:t xml:space="preserve">30 m. </w:t>
      </w:r>
      <w:r w:rsidR="003A5732" w:rsidRPr="00521357">
        <w:rPr>
          <w:rFonts w:cs="Times New Roman"/>
          <w:szCs w:val="24"/>
        </w:rPr>
        <w:t xml:space="preserve">amžiaus </w:t>
      </w:r>
      <w:r w:rsidRPr="00521357">
        <w:rPr>
          <w:rFonts w:cs="Times New Roman"/>
          <w:szCs w:val="24"/>
        </w:rPr>
        <w:t>ir vyresnių gyventojų bendras mirtingum</w:t>
      </w:r>
      <w:r w:rsidR="005D2802" w:rsidRPr="00521357">
        <w:rPr>
          <w:rFonts w:cs="Times New Roman"/>
          <w:szCs w:val="24"/>
        </w:rPr>
        <w:t>o</w:t>
      </w:r>
      <w:r w:rsidRPr="00521357">
        <w:rPr>
          <w:rFonts w:cs="Times New Roman"/>
          <w:szCs w:val="24"/>
        </w:rPr>
        <w:t xml:space="preserve"> nuo visų priežasčių (išskyrus išorines mirties priežastis) </w:t>
      </w:r>
      <w:r w:rsidR="005D2802" w:rsidRPr="00521357">
        <w:rPr>
          <w:rFonts w:cs="Times New Roman"/>
          <w:szCs w:val="24"/>
        </w:rPr>
        <w:t xml:space="preserve">100 tūkst. gyventojų  rodiklis </w:t>
      </w:r>
      <w:r w:rsidRPr="00521357">
        <w:rPr>
          <w:rFonts w:cs="Times New Roman"/>
          <w:szCs w:val="24"/>
        </w:rPr>
        <w:t>nuolat</w:t>
      </w:r>
      <w:r w:rsidR="00F26CF7" w:rsidRPr="00521357">
        <w:rPr>
          <w:rFonts w:cs="Times New Roman"/>
          <w:szCs w:val="24"/>
        </w:rPr>
        <w:t xml:space="preserve"> </w:t>
      </w:r>
      <w:r w:rsidRPr="00521357">
        <w:rPr>
          <w:rFonts w:cs="Times New Roman"/>
          <w:szCs w:val="24"/>
        </w:rPr>
        <w:t>didėjo nuo 2015</w:t>
      </w:r>
      <w:r w:rsidR="00174CC3" w:rsidRPr="00521357">
        <w:rPr>
          <w:rFonts w:cs="Times New Roman"/>
          <w:szCs w:val="24"/>
        </w:rPr>
        <w:t>–</w:t>
      </w:r>
      <w:r w:rsidRPr="00521357">
        <w:rPr>
          <w:rFonts w:cs="Times New Roman"/>
          <w:szCs w:val="24"/>
        </w:rPr>
        <w:t>2017 m. iki 2020</w:t>
      </w:r>
      <w:r w:rsidR="00174CC3" w:rsidRPr="00521357">
        <w:rPr>
          <w:rFonts w:cs="Times New Roman"/>
          <w:szCs w:val="24"/>
        </w:rPr>
        <w:t>–</w:t>
      </w:r>
      <w:r w:rsidRPr="00521357">
        <w:rPr>
          <w:rFonts w:cs="Times New Roman"/>
          <w:szCs w:val="24"/>
        </w:rPr>
        <w:t>2022 m. visuose miestuose</w:t>
      </w:r>
      <w:r w:rsidR="003757FA" w:rsidRPr="00521357">
        <w:rPr>
          <w:rFonts w:cs="Times New Roman"/>
          <w:szCs w:val="24"/>
        </w:rPr>
        <w:t>, tačiau paskutiniu periodu 2021</w:t>
      </w:r>
      <w:r w:rsidR="000E282C">
        <w:rPr>
          <w:rFonts w:cs="Times New Roman"/>
          <w:iCs/>
          <w:szCs w:val="24"/>
        </w:rPr>
        <w:t>–</w:t>
      </w:r>
      <w:r w:rsidR="003757FA" w:rsidRPr="00521357">
        <w:rPr>
          <w:rFonts w:cs="Times New Roman"/>
          <w:szCs w:val="24"/>
        </w:rPr>
        <w:t>2023 m.</w:t>
      </w:r>
      <w:r w:rsidR="009314D8" w:rsidRPr="00521357">
        <w:rPr>
          <w:rFonts w:cs="Times New Roman"/>
          <w:szCs w:val="24"/>
        </w:rPr>
        <w:t xml:space="preserve"> sumažėjo</w:t>
      </w:r>
      <w:r w:rsidRPr="00521357">
        <w:rPr>
          <w:rFonts w:cs="Times New Roman"/>
          <w:szCs w:val="24"/>
        </w:rPr>
        <w:t xml:space="preserve"> (</w:t>
      </w:r>
      <w:r w:rsidR="002818B1" w:rsidRPr="00521357">
        <w:rPr>
          <w:rFonts w:cs="Times New Roman"/>
          <w:szCs w:val="24"/>
        </w:rPr>
        <w:t>5</w:t>
      </w:r>
      <w:r w:rsidR="00174CC3" w:rsidRPr="00521357">
        <w:rPr>
          <w:rFonts w:cs="Times New Roman"/>
          <w:szCs w:val="24"/>
        </w:rPr>
        <w:t> </w:t>
      </w:r>
      <w:r w:rsidRPr="00521357">
        <w:rPr>
          <w:rFonts w:cs="Times New Roman"/>
          <w:szCs w:val="24"/>
        </w:rPr>
        <w:t>pav.)</w:t>
      </w:r>
      <w:r w:rsidR="002818B1" w:rsidRPr="00521357">
        <w:rPr>
          <w:rFonts w:cs="Times New Roman"/>
          <w:szCs w:val="24"/>
        </w:rPr>
        <w:t xml:space="preserve">. </w:t>
      </w:r>
      <w:r w:rsidRPr="00521357">
        <w:rPr>
          <w:rFonts w:cs="Times New Roman"/>
          <w:szCs w:val="24"/>
        </w:rPr>
        <w:t>Didžiausias bendras mirtingumo rodiklis stebimas maž</w:t>
      </w:r>
      <w:r w:rsidR="009314D8" w:rsidRPr="00521357">
        <w:rPr>
          <w:rFonts w:cs="Times New Roman"/>
          <w:szCs w:val="24"/>
        </w:rPr>
        <w:t>ų rajonų savivaldybėse:</w:t>
      </w:r>
      <w:r w:rsidRPr="00521357">
        <w:rPr>
          <w:rFonts w:cs="Times New Roman"/>
          <w:szCs w:val="24"/>
        </w:rPr>
        <w:t xml:space="preserve"> Akmen</w:t>
      </w:r>
      <w:r w:rsidR="009314D8" w:rsidRPr="00521357">
        <w:rPr>
          <w:rFonts w:cs="Times New Roman"/>
          <w:szCs w:val="24"/>
        </w:rPr>
        <w:t>ės</w:t>
      </w:r>
      <w:r w:rsidRPr="00521357">
        <w:rPr>
          <w:rFonts w:cs="Times New Roman"/>
          <w:szCs w:val="24"/>
        </w:rPr>
        <w:t>, Kėdaini</w:t>
      </w:r>
      <w:r w:rsidR="009314D8" w:rsidRPr="00521357">
        <w:rPr>
          <w:rFonts w:cs="Times New Roman"/>
          <w:szCs w:val="24"/>
        </w:rPr>
        <w:t>ų,</w:t>
      </w:r>
      <w:r w:rsidRPr="00521357">
        <w:rPr>
          <w:rFonts w:cs="Times New Roman"/>
          <w:szCs w:val="24"/>
        </w:rPr>
        <w:t xml:space="preserve"> Jonavo</w:t>
      </w:r>
      <w:r w:rsidR="009314D8" w:rsidRPr="00521357">
        <w:rPr>
          <w:rFonts w:cs="Times New Roman"/>
          <w:szCs w:val="24"/>
        </w:rPr>
        <w:t>s</w:t>
      </w:r>
      <w:r w:rsidRPr="00521357">
        <w:rPr>
          <w:rFonts w:cs="Times New Roman"/>
          <w:szCs w:val="24"/>
        </w:rPr>
        <w:t>. Kaip žinoma</w:t>
      </w:r>
      <w:r w:rsidR="002818B1" w:rsidRPr="00521357">
        <w:rPr>
          <w:rFonts w:cs="Times New Roman"/>
          <w:szCs w:val="24"/>
        </w:rPr>
        <w:t>, gyventojų mirtingumo skirtumams įtaką daro populiacijų amžiaus struktūros skirtumai.</w:t>
      </w:r>
      <w:r w:rsidR="00F57364" w:rsidRPr="00521357">
        <w:rPr>
          <w:rFonts w:cs="Times New Roman"/>
          <w:szCs w:val="24"/>
        </w:rPr>
        <w:t xml:space="preserve"> </w:t>
      </w:r>
    </w:p>
    <w:p w14:paraId="3740F74C" w14:textId="77777777" w:rsidR="009B0CD2" w:rsidRPr="00521357" w:rsidRDefault="009B0CD2" w:rsidP="002818B1">
      <w:pPr>
        <w:ind w:firstLine="567"/>
        <w:jc w:val="both"/>
        <w:rPr>
          <w:rFonts w:cs="Times New Roman"/>
          <w:szCs w:val="24"/>
        </w:rPr>
      </w:pPr>
    </w:p>
    <w:p w14:paraId="014F6CA1" w14:textId="7DD62054" w:rsidR="003E0E58" w:rsidRPr="00521357" w:rsidRDefault="003757FA">
      <w:pPr>
        <w:rPr>
          <w:rFonts w:cs="Times New Roman"/>
          <w:szCs w:val="24"/>
        </w:rPr>
      </w:pPr>
      <w:r w:rsidRPr="00521357">
        <w:rPr>
          <w:rFonts w:cs="Times New Roman"/>
          <w:noProof/>
          <w:szCs w:val="24"/>
          <w:lang w:eastAsia="lt-LT"/>
        </w:rPr>
        <w:drawing>
          <wp:inline distT="0" distB="0" distL="0" distR="0" wp14:anchorId="1AA32F61" wp14:editId="015D4F45">
            <wp:extent cx="4610100" cy="2743200"/>
            <wp:effectExtent l="0" t="0" r="0" b="0"/>
            <wp:docPr id="1505866548" name="Chart 1">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D61454-1359-1AA0-C01D-08D586825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E23F19" w:rsidRPr="00521357">
        <w:rPr>
          <w:rFonts w:cs="Times New Roman"/>
          <w:noProof/>
          <w:szCs w:val="24"/>
        </w:rPr>
        <w:t xml:space="preserve"> </w:t>
      </w:r>
      <w:r w:rsidR="003E0E58" w:rsidRPr="00521357">
        <w:rPr>
          <w:rFonts w:cs="Times New Roman"/>
          <w:szCs w:val="24"/>
        </w:rPr>
        <w:t xml:space="preserve"> </w:t>
      </w:r>
    </w:p>
    <w:p w14:paraId="5F071116" w14:textId="74248C85" w:rsidR="00A7166D" w:rsidRPr="00521357" w:rsidRDefault="00464913" w:rsidP="00464913">
      <w:pPr>
        <w:pStyle w:val="Antrat"/>
        <w:rPr>
          <w:rFonts w:cs="Times New Roman"/>
          <w:i w:val="0"/>
          <w:iCs w:val="0"/>
          <w:color w:val="auto"/>
          <w:sz w:val="24"/>
          <w:szCs w:val="24"/>
        </w:rPr>
      </w:pPr>
      <w:r w:rsidRPr="00521357">
        <w:rPr>
          <w:rFonts w:cs="Times New Roman"/>
          <w:b/>
          <w:i w:val="0"/>
          <w:color w:val="auto"/>
          <w:sz w:val="24"/>
          <w:szCs w:val="24"/>
        </w:rPr>
        <w:t xml:space="preserve">5 pav. </w:t>
      </w:r>
      <w:r w:rsidR="003757FA" w:rsidRPr="00521357">
        <w:rPr>
          <w:rFonts w:cs="Times New Roman"/>
          <w:i w:val="0"/>
          <w:iCs w:val="0"/>
          <w:color w:val="auto"/>
          <w:sz w:val="24"/>
          <w:szCs w:val="24"/>
        </w:rPr>
        <w:t xml:space="preserve">30 m. ir vyresnių gyventojų mirtingumo nuo visų priežasčių (išskyrus išorines mirties priežastis) 100 tūkst. gyventojųrodiklio  </w:t>
      </w:r>
      <w:r w:rsidRPr="00521357">
        <w:rPr>
          <w:rFonts w:cs="Times New Roman"/>
          <w:b/>
          <w:i w:val="0"/>
          <w:iCs w:val="0"/>
          <w:color w:val="auto"/>
          <w:sz w:val="24"/>
          <w:szCs w:val="24"/>
        </w:rPr>
        <w:t>Lietuvos miestuose dinamika 2015</w:t>
      </w:r>
      <w:r w:rsidR="00174CC3" w:rsidRPr="00521357">
        <w:rPr>
          <w:rFonts w:cs="Times New Roman"/>
          <w:b/>
          <w:i w:val="0"/>
          <w:iCs w:val="0"/>
          <w:color w:val="auto"/>
          <w:sz w:val="24"/>
          <w:szCs w:val="24"/>
        </w:rPr>
        <w:t>–</w:t>
      </w:r>
      <w:r w:rsidRPr="00521357">
        <w:rPr>
          <w:rFonts w:cs="Times New Roman"/>
          <w:b/>
          <w:i w:val="0"/>
          <w:iCs w:val="0"/>
          <w:color w:val="auto"/>
          <w:sz w:val="24"/>
          <w:szCs w:val="24"/>
        </w:rPr>
        <w:t>202</w:t>
      </w:r>
      <w:r w:rsidR="003757FA" w:rsidRPr="00521357">
        <w:rPr>
          <w:rFonts w:cs="Times New Roman"/>
          <w:b/>
          <w:i w:val="0"/>
          <w:iCs w:val="0"/>
          <w:color w:val="auto"/>
          <w:sz w:val="24"/>
          <w:szCs w:val="24"/>
        </w:rPr>
        <w:t>3</w:t>
      </w:r>
      <w:r w:rsidRPr="00521357">
        <w:rPr>
          <w:rFonts w:cs="Times New Roman"/>
          <w:b/>
          <w:i w:val="0"/>
          <w:iCs w:val="0"/>
          <w:color w:val="auto"/>
          <w:sz w:val="24"/>
          <w:szCs w:val="24"/>
        </w:rPr>
        <w:t xml:space="preserve"> m.</w:t>
      </w:r>
    </w:p>
    <w:p w14:paraId="2D276677" w14:textId="72DB0D6B" w:rsidR="00A7166D" w:rsidRPr="00521357" w:rsidRDefault="002818B1" w:rsidP="00464913">
      <w:pPr>
        <w:ind w:firstLine="567"/>
        <w:jc w:val="both"/>
        <w:rPr>
          <w:rFonts w:cs="Times New Roman"/>
          <w:szCs w:val="24"/>
        </w:rPr>
      </w:pPr>
      <w:r w:rsidRPr="00521357">
        <w:rPr>
          <w:rFonts w:cs="Times New Roman"/>
          <w:szCs w:val="24"/>
        </w:rPr>
        <w:t>Įvertin</w:t>
      </w:r>
      <w:r w:rsidR="00A535BC" w:rsidRPr="00521357">
        <w:rPr>
          <w:rFonts w:cs="Times New Roman"/>
          <w:szCs w:val="24"/>
        </w:rPr>
        <w:t>us</w:t>
      </w:r>
      <w:r w:rsidRPr="00521357">
        <w:rPr>
          <w:rFonts w:cs="Times New Roman"/>
          <w:szCs w:val="24"/>
        </w:rPr>
        <w:t xml:space="preserve"> aukščiau pateiktus duomenis, galima daryti prielaidas, kad mažėjan</w:t>
      </w:r>
      <w:r w:rsidR="006D6EE2" w:rsidRPr="00521357">
        <w:rPr>
          <w:rFonts w:cs="Times New Roman"/>
          <w:szCs w:val="24"/>
        </w:rPr>
        <w:t xml:space="preserve">čias priešlaikines mirtis, priskiriamas ilgalaikiam  </w:t>
      </w:r>
      <w:r w:rsidR="00A535BC" w:rsidRPr="00521357">
        <w:rPr>
          <w:rFonts w:cs="Times New Roman"/>
          <w:szCs w:val="24"/>
        </w:rPr>
        <w:t xml:space="preserve">KD2,5 dalelių </w:t>
      </w:r>
      <w:r w:rsidR="006D6EE2" w:rsidRPr="00521357">
        <w:rPr>
          <w:rFonts w:cs="Times New Roman"/>
          <w:szCs w:val="24"/>
        </w:rPr>
        <w:t xml:space="preserve">poveikiui, lemia mažėjantis aplinkos oro užterštumas </w:t>
      </w:r>
      <w:r w:rsidR="00E23F19" w:rsidRPr="00521357">
        <w:rPr>
          <w:rFonts w:cs="Times New Roman"/>
          <w:szCs w:val="24"/>
        </w:rPr>
        <w:t xml:space="preserve">smulkiosiomis </w:t>
      </w:r>
      <w:r w:rsidR="006D6EE2" w:rsidRPr="00521357">
        <w:rPr>
          <w:rFonts w:cs="Times New Roman"/>
          <w:szCs w:val="24"/>
        </w:rPr>
        <w:t>kietosiomis dalelėmis</w:t>
      </w:r>
      <w:r w:rsidR="009314D8" w:rsidRPr="00521357">
        <w:rPr>
          <w:rFonts w:cs="Times New Roman"/>
          <w:szCs w:val="24"/>
        </w:rPr>
        <w:t xml:space="preserve"> ir pastarąjį periodą</w:t>
      </w:r>
      <w:r w:rsidR="006D6EE2" w:rsidRPr="00521357">
        <w:rPr>
          <w:rFonts w:cs="Times New Roman"/>
          <w:szCs w:val="24"/>
        </w:rPr>
        <w:t xml:space="preserve"> </w:t>
      </w:r>
      <w:r w:rsidR="009314D8" w:rsidRPr="00521357">
        <w:rPr>
          <w:rFonts w:cs="Times New Roman"/>
          <w:szCs w:val="24"/>
        </w:rPr>
        <w:t>(2021</w:t>
      </w:r>
      <w:r w:rsidR="000E282C">
        <w:rPr>
          <w:rFonts w:cs="Times New Roman"/>
          <w:iCs/>
          <w:szCs w:val="24"/>
        </w:rPr>
        <w:t>–</w:t>
      </w:r>
      <w:r w:rsidR="009314D8" w:rsidRPr="00521357">
        <w:rPr>
          <w:rFonts w:cs="Times New Roman"/>
          <w:szCs w:val="24"/>
        </w:rPr>
        <w:t>2023 m.) s</w:t>
      </w:r>
      <w:r w:rsidR="006D6EE2" w:rsidRPr="00521357">
        <w:rPr>
          <w:rFonts w:cs="Times New Roman"/>
          <w:szCs w:val="24"/>
        </w:rPr>
        <w:t>umažėj</w:t>
      </w:r>
      <w:r w:rsidR="009314D8" w:rsidRPr="00521357">
        <w:rPr>
          <w:rFonts w:cs="Times New Roman"/>
          <w:szCs w:val="24"/>
        </w:rPr>
        <w:t>ęs</w:t>
      </w:r>
      <w:r w:rsidR="006D6EE2" w:rsidRPr="00521357">
        <w:rPr>
          <w:rFonts w:cs="Times New Roman"/>
          <w:szCs w:val="24"/>
        </w:rPr>
        <w:t xml:space="preserve"> bendras gyventojų mirtingumas.</w:t>
      </w:r>
    </w:p>
    <w:p w14:paraId="5B92B0A1" w14:textId="77777777" w:rsidR="00A7166D" w:rsidRPr="00521357" w:rsidRDefault="00174CC3" w:rsidP="00174CC3">
      <w:pPr>
        <w:ind w:firstLine="0"/>
        <w:jc w:val="center"/>
        <w:rPr>
          <w:rFonts w:cs="Times New Roman"/>
          <w:szCs w:val="24"/>
        </w:rPr>
      </w:pPr>
      <w:r w:rsidRPr="00521357">
        <w:rPr>
          <w:rFonts w:cs="Times New Roman"/>
          <w:szCs w:val="24"/>
        </w:rPr>
        <w:t>_____________________</w:t>
      </w:r>
    </w:p>
    <w:sectPr w:rsidR="00A7166D" w:rsidRPr="00521357" w:rsidSect="002E58F4">
      <w:pgSz w:w="11906" w:h="16838"/>
      <w:pgMar w:top="1134" w:right="566"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D7434" w14:textId="77777777" w:rsidR="00F62A06" w:rsidRDefault="00F62A06" w:rsidP="000E0673">
      <w:pPr>
        <w:spacing w:line="240" w:lineRule="auto"/>
      </w:pPr>
      <w:r>
        <w:separator/>
      </w:r>
    </w:p>
  </w:endnote>
  <w:endnote w:type="continuationSeparator" w:id="0">
    <w:p w14:paraId="5D3D3A2C" w14:textId="77777777" w:rsidR="00F62A06" w:rsidRDefault="00F62A06" w:rsidP="000E0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069B9" w14:textId="77777777" w:rsidR="00F62A06" w:rsidRDefault="00F62A06" w:rsidP="000E0673">
      <w:pPr>
        <w:spacing w:line="240" w:lineRule="auto"/>
      </w:pPr>
      <w:r>
        <w:separator/>
      </w:r>
    </w:p>
  </w:footnote>
  <w:footnote w:type="continuationSeparator" w:id="0">
    <w:p w14:paraId="69DAA2B0" w14:textId="77777777" w:rsidR="00F62A06" w:rsidRDefault="00F62A06" w:rsidP="000E0673">
      <w:pPr>
        <w:spacing w:line="240" w:lineRule="auto"/>
      </w:pPr>
      <w:r>
        <w:continuationSeparator/>
      </w:r>
    </w:p>
  </w:footnote>
  <w:footnote w:id="1">
    <w:p w14:paraId="6C951793" w14:textId="77777777" w:rsidR="00160C5E" w:rsidRDefault="00160C5E" w:rsidP="005166A3">
      <w:pPr>
        <w:pStyle w:val="Puslapioinaostekstas"/>
        <w:ind w:firstLine="0"/>
      </w:pPr>
      <w:r>
        <w:rPr>
          <w:rStyle w:val="Puslapioinaosnuoroda"/>
        </w:rPr>
        <w:footnoteRef/>
      </w:r>
      <w:r>
        <w:t xml:space="preserve"> </w:t>
      </w:r>
      <w:hyperlink r:id="rId1" w:history="1">
        <w:r w:rsidRPr="00A021AE">
          <w:rPr>
            <w:rStyle w:val="Hipersaitas"/>
          </w:rPr>
          <w:t>https://nvsc.lrv.lt/uploads/nvsc/documents/files/PVSV_KD2_5_2015- 2021_duomenys.pdf</w:t>
        </w:r>
      </w:hyperlink>
    </w:p>
  </w:footnote>
  <w:footnote w:id="2">
    <w:p w14:paraId="2EB650A0" w14:textId="77777777" w:rsidR="008A6936" w:rsidRDefault="008A6936" w:rsidP="005166A3">
      <w:pPr>
        <w:pStyle w:val="Puslapioinaostekstas"/>
        <w:ind w:firstLine="0"/>
      </w:pPr>
      <w:r>
        <w:rPr>
          <w:rStyle w:val="Puslapioinaosnuoroda"/>
        </w:rPr>
        <w:footnoteRef/>
      </w:r>
      <w:r>
        <w:t xml:space="preserve"> </w:t>
      </w:r>
      <w:hyperlink r:id="rId2" w:history="1">
        <w:r w:rsidRPr="00A021AE">
          <w:rPr>
            <w:rStyle w:val="Hipersaitas"/>
          </w:rPr>
          <w:t>https://www.who.int/europe/tools-and-toolkits/airq---software-tool-for-health-risk-assessment-of-air-pollution</w:t>
        </w:r>
      </w:hyperlink>
    </w:p>
  </w:footnote>
  <w:footnote w:id="3">
    <w:p w14:paraId="233FC518" w14:textId="77777777" w:rsidR="005166A3" w:rsidRDefault="005166A3" w:rsidP="005166A3">
      <w:pPr>
        <w:pStyle w:val="Puslapioinaostekstas"/>
        <w:ind w:firstLine="0"/>
      </w:pPr>
      <w:r>
        <w:rPr>
          <w:rStyle w:val="Puslapioinaosnuoroda"/>
        </w:rPr>
        <w:footnoteRef/>
      </w:r>
      <w:r>
        <w:t xml:space="preserve"> </w:t>
      </w:r>
      <w:hyperlink r:id="rId3" w:history="1">
        <w:r w:rsidRPr="00A021AE">
          <w:rPr>
            <w:rStyle w:val="Hipersaitas"/>
          </w:rPr>
          <w:t>https://www.who.int/europe/publications/i/item/9789289051316</w:t>
        </w:r>
      </w:hyperlink>
    </w:p>
  </w:footnote>
  <w:footnote w:id="4">
    <w:p w14:paraId="6C12F4C8" w14:textId="11BA4F39" w:rsidR="002A7F40" w:rsidRDefault="002A7F40" w:rsidP="002A7F40">
      <w:pPr>
        <w:pStyle w:val="Puslapioinaostekstas"/>
        <w:ind w:firstLine="0"/>
      </w:pPr>
      <w:r>
        <w:rPr>
          <w:rStyle w:val="Puslapioinaosnuoroda"/>
        </w:rPr>
        <w:footnoteRef/>
      </w:r>
      <w:r>
        <w:t xml:space="preserve"> </w:t>
      </w:r>
      <w:hyperlink r:id="rId4" w:history="1">
        <w:r w:rsidRPr="0050678B">
          <w:rPr>
            <w:rStyle w:val="Hipersaitas"/>
          </w:rPr>
          <w:t>https://www.who.int/publications/i/item/9789240034228</w:t>
        </w:r>
      </w:hyperlink>
    </w:p>
    <w:p w14:paraId="0612C214" w14:textId="77777777" w:rsidR="002A7F40" w:rsidRDefault="002A7F40" w:rsidP="002A7F40">
      <w:pPr>
        <w:pStyle w:val="Puslapioinaostekstas"/>
        <w:ind w:firstLine="0"/>
      </w:pPr>
    </w:p>
  </w:footnote>
  <w:footnote w:id="5">
    <w:p w14:paraId="607901AF" w14:textId="77777777" w:rsidR="005166A3" w:rsidRDefault="005166A3" w:rsidP="000D5FC0">
      <w:pPr>
        <w:pStyle w:val="Puslapioinaostekstas"/>
        <w:ind w:firstLine="0"/>
      </w:pPr>
      <w:r>
        <w:rPr>
          <w:rStyle w:val="Puslapioinaosnuoroda"/>
        </w:rPr>
        <w:footnoteRef/>
      </w:r>
      <w:r>
        <w:t xml:space="preserve"> </w:t>
      </w:r>
      <w:hyperlink r:id="rId5" w:history="1">
        <w:r w:rsidRPr="00A021AE">
          <w:rPr>
            <w:rStyle w:val="Hipersaitas"/>
          </w:rPr>
          <w:t>https://nvsc.lrv.lt/uploads/nvsc/documents/files/PVSV_KD2_5_2015-2021_duomenys.pdf</w:t>
        </w:r>
      </w:hyperlink>
    </w:p>
    <w:p w14:paraId="1D4279DB" w14:textId="77777777" w:rsidR="005166A3" w:rsidRDefault="005166A3" w:rsidP="005166A3">
      <w:pPr>
        <w:pStyle w:val="Puslapioinaosteksta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7C6"/>
    <w:multiLevelType w:val="hybridMultilevel"/>
    <w:tmpl w:val="6B9834BC"/>
    <w:lvl w:ilvl="0" w:tplc="8564F51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12D1D94"/>
    <w:multiLevelType w:val="hybridMultilevel"/>
    <w:tmpl w:val="E70077DE"/>
    <w:lvl w:ilvl="0" w:tplc="59800474">
      <w:start w:val="1"/>
      <w:numFmt w:val="decimal"/>
      <w:pStyle w:val="Antrat1"/>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E63118D"/>
    <w:multiLevelType w:val="hybridMultilevel"/>
    <w:tmpl w:val="142C613A"/>
    <w:lvl w:ilvl="0" w:tplc="67F81A1C">
      <w:numFmt w:val="bullet"/>
      <w:lvlText w:val=""/>
      <w:lvlJc w:val="left"/>
      <w:pPr>
        <w:ind w:left="720" w:hanging="360"/>
      </w:pPr>
      <w:rPr>
        <w:rFonts w:ascii="Symbol" w:eastAsia="Times New Roman" w:hAnsi="Symbol"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3FBF38DC"/>
    <w:multiLevelType w:val="hybridMultilevel"/>
    <w:tmpl w:val="D5B4D33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459C469C"/>
    <w:multiLevelType w:val="hybridMultilevel"/>
    <w:tmpl w:val="95C89E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7B8A430C"/>
    <w:multiLevelType w:val="hybridMultilevel"/>
    <w:tmpl w:val="D8DCEB24"/>
    <w:lvl w:ilvl="0" w:tplc="A9DE3ED4">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73"/>
    <w:rsid w:val="00012A55"/>
    <w:rsid w:val="00016E65"/>
    <w:rsid w:val="00041573"/>
    <w:rsid w:val="000472B8"/>
    <w:rsid w:val="00053B85"/>
    <w:rsid w:val="00070305"/>
    <w:rsid w:val="000B7D7F"/>
    <w:rsid w:val="000D5FC0"/>
    <w:rsid w:val="000E0673"/>
    <w:rsid w:val="000E282C"/>
    <w:rsid w:val="0010191C"/>
    <w:rsid w:val="00116C73"/>
    <w:rsid w:val="00136AAE"/>
    <w:rsid w:val="001531EE"/>
    <w:rsid w:val="00160C5E"/>
    <w:rsid w:val="00162471"/>
    <w:rsid w:val="00174CC3"/>
    <w:rsid w:val="00185E50"/>
    <w:rsid w:val="001943C7"/>
    <w:rsid w:val="001A1ADB"/>
    <w:rsid w:val="001A6221"/>
    <w:rsid w:val="001B43A8"/>
    <w:rsid w:val="002372C3"/>
    <w:rsid w:val="00241579"/>
    <w:rsid w:val="00244743"/>
    <w:rsid w:val="00260104"/>
    <w:rsid w:val="002609B5"/>
    <w:rsid w:val="00275D18"/>
    <w:rsid w:val="002818B1"/>
    <w:rsid w:val="002849A2"/>
    <w:rsid w:val="00285038"/>
    <w:rsid w:val="00286F8A"/>
    <w:rsid w:val="002955A1"/>
    <w:rsid w:val="002962C0"/>
    <w:rsid w:val="002A6249"/>
    <w:rsid w:val="002A657F"/>
    <w:rsid w:val="002A754B"/>
    <w:rsid w:val="002A7F40"/>
    <w:rsid w:val="002C0AE5"/>
    <w:rsid w:val="002D46F6"/>
    <w:rsid w:val="002D5857"/>
    <w:rsid w:val="002E0713"/>
    <w:rsid w:val="002E58F4"/>
    <w:rsid w:val="002E5A39"/>
    <w:rsid w:val="002E66F9"/>
    <w:rsid w:val="003050D9"/>
    <w:rsid w:val="00305478"/>
    <w:rsid w:val="00323651"/>
    <w:rsid w:val="00326A68"/>
    <w:rsid w:val="003409BE"/>
    <w:rsid w:val="003539B2"/>
    <w:rsid w:val="003655C6"/>
    <w:rsid w:val="003757FA"/>
    <w:rsid w:val="0037797F"/>
    <w:rsid w:val="00385201"/>
    <w:rsid w:val="00385EF3"/>
    <w:rsid w:val="003A5732"/>
    <w:rsid w:val="003B51C8"/>
    <w:rsid w:val="003E0E58"/>
    <w:rsid w:val="003F698F"/>
    <w:rsid w:val="003F70BF"/>
    <w:rsid w:val="004444D5"/>
    <w:rsid w:val="00455C86"/>
    <w:rsid w:val="00456E3B"/>
    <w:rsid w:val="00457C81"/>
    <w:rsid w:val="00464913"/>
    <w:rsid w:val="00470153"/>
    <w:rsid w:val="00492117"/>
    <w:rsid w:val="004A7EC2"/>
    <w:rsid w:val="004F1223"/>
    <w:rsid w:val="005166A3"/>
    <w:rsid w:val="00521357"/>
    <w:rsid w:val="00527064"/>
    <w:rsid w:val="00534B5A"/>
    <w:rsid w:val="005A1FED"/>
    <w:rsid w:val="005A3022"/>
    <w:rsid w:val="005B4862"/>
    <w:rsid w:val="005C07D3"/>
    <w:rsid w:val="005D2802"/>
    <w:rsid w:val="005F453E"/>
    <w:rsid w:val="005F6842"/>
    <w:rsid w:val="00603661"/>
    <w:rsid w:val="006130BF"/>
    <w:rsid w:val="0061552B"/>
    <w:rsid w:val="0064078E"/>
    <w:rsid w:val="00643CB8"/>
    <w:rsid w:val="00646F02"/>
    <w:rsid w:val="0065275C"/>
    <w:rsid w:val="00664E7C"/>
    <w:rsid w:val="00671302"/>
    <w:rsid w:val="00682EBE"/>
    <w:rsid w:val="00683B41"/>
    <w:rsid w:val="006B3C5A"/>
    <w:rsid w:val="006C78D3"/>
    <w:rsid w:val="006D6EE2"/>
    <w:rsid w:val="006E413A"/>
    <w:rsid w:val="006E5AAE"/>
    <w:rsid w:val="0074055A"/>
    <w:rsid w:val="00751E98"/>
    <w:rsid w:val="007529F5"/>
    <w:rsid w:val="0077089D"/>
    <w:rsid w:val="00781F8B"/>
    <w:rsid w:val="00790DEE"/>
    <w:rsid w:val="00794B75"/>
    <w:rsid w:val="00796D86"/>
    <w:rsid w:val="00797674"/>
    <w:rsid w:val="007B005E"/>
    <w:rsid w:val="007B3563"/>
    <w:rsid w:val="007B6ACD"/>
    <w:rsid w:val="007D63B3"/>
    <w:rsid w:val="007E73A9"/>
    <w:rsid w:val="00801337"/>
    <w:rsid w:val="0081076B"/>
    <w:rsid w:val="00867AE2"/>
    <w:rsid w:val="0087600A"/>
    <w:rsid w:val="00887F12"/>
    <w:rsid w:val="008A6936"/>
    <w:rsid w:val="008B1303"/>
    <w:rsid w:val="008E2EF0"/>
    <w:rsid w:val="00915148"/>
    <w:rsid w:val="00915C04"/>
    <w:rsid w:val="009314D8"/>
    <w:rsid w:val="00936BFD"/>
    <w:rsid w:val="00947E77"/>
    <w:rsid w:val="00975FBC"/>
    <w:rsid w:val="009942AF"/>
    <w:rsid w:val="009944C1"/>
    <w:rsid w:val="009B0CD2"/>
    <w:rsid w:val="009B3AF6"/>
    <w:rsid w:val="009D28A8"/>
    <w:rsid w:val="009E1259"/>
    <w:rsid w:val="009E1823"/>
    <w:rsid w:val="00A00DC4"/>
    <w:rsid w:val="00A220DB"/>
    <w:rsid w:val="00A23EEE"/>
    <w:rsid w:val="00A44D40"/>
    <w:rsid w:val="00A535BC"/>
    <w:rsid w:val="00A7166D"/>
    <w:rsid w:val="00AB06D2"/>
    <w:rsid w:val="00AB5D34"/>
    <w:rsid w:val="00AF6B78"/>
    <w:rsid w:val="00B16EEA"/>
    <w:rsid w:val="00B24BB3"/>
    <w:rsid w:val="00B26CE0"/>
    <w:rsid w:val="00B30379"/>
    <w:rsid w:val="00B47C97"/>
    <w:rsid w:val="00B6225E"/>
    <w:rsid w:val="00B63B84"/>
    <w:rsid w:val="00B8026F"/>
    <w:rsid w:val="00BA4847"/>
    <w:rsid w:val="00BA5894"/>
    <w:rsid w:val="00BA5D47"/>
    <w:rsid w:val="00BB14D0"/>
    <w:rsid w:val="00C0538B"/>
    <w:rsid w:val="00C34477"/>
    <w:rsid w:val="00C370F4"/>
    <w:rsid w:val="00C37260"/>
    <w:rsid w:val="00C408E4"/>
    <w:rsid w:val="00C409B0"/>
    <w:rsid w:val="00C412F6"/>
    <w:rsid w:val="00C46BDD"/>
    <w:rsid w:val="00C61094"/>
    <w:rsid w:val="00C62E23"/>
    <w:rsid w:val="00C64071"/>
    <w:rsid w:val="00C74F3F"/>
    <w:rsid w:val="00C8052A"/>
    <w:rsid w:val="00C93260"/>
    <w:rsid w:val="00C96CC1"/>
    <w:rsid w:val="00CA0394"/>
    <w:rsid w:val="00CA4C3F"/>
    <w:rsid w:val="00CB08D2"/>
    <w:rsid w:val="00CC5739"/>
    <w:rsid w:val="00CE153C"/>
    <w:rsid w:val="00CF144A"/>
    <w:rsid w:val="00D04F09"/>
    <w:rsid w:val="00D11108"/>
    <w:rsid w:val="00D1170A"/>
    <w:rsid w:val="00D516FC"/>
    <w:rsid w:val="00D707D0"/>
    <w:rsid w:val="00DB74D2"/>
    <w:rsid w:val="00DC6672"/>
    <w:rsid w:val="00DC7D18"/>
    <w:rsid w:val="00DE130A"/>
    <w:rsid w:val="00DE2DFB"/>
    <w:rsid w:val="00E23F19"/>
    <w:rsid w:val="00E414BF"/>
    <w:rsid w:val="00E91BFC"/>
    <w:rsid w:val="00ED1C3A"/>
    <w:rsid w:val="00EE4249"/>
    <w:rsid w:val="00F17DBB"/>
    <w:rsid w:val="00F23B98"/>
    <w:rsid w:val="00F26CF7"/>
    <w:rsid w:val="00F31A76"/>
    <w:rsid w:val="00F57364"/>
    <w:rsid w:val="00F62A06"/>
    <w:rsid w:val="00F72C63"/>
    <w:rsid w:val="00F82440"/>
    <w:rsid w:val="00F92FAC"/>
    <w:rsid w:val="00FB4C6C"/>
    <w:rsid w:val="00FB6727"/>
    <w:rsid w:val="00FC0FB9"/>
    <w:rsid w:val="00FD0C90"/>
    <w:rsid w:val="00FF2D5E"/>
    <w:rsid w:val="00FF30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0C5E"/>
    <w:pPr>
      <w:spacing w:after="0"/>
      <w:ind w:firstLine="851"/>
    </w:pPr>
    <w:rPr>
      <w:rFonts w:ascii="Times New Roman" w:hAnsi="Times New Roman"/>
      <w:sz w:val="24"/>
    </w:rPr>
  </w:style>
  <w:style w:type="paragraph" w:styleId="Antrat1">
    <w:name w:val="heading 1"/>
    <w:basedOn w:val="prastasis"/>
    <w:next w:val="prastasis"/>
    <w:link w:val="Antrat1Diagrama"/>
    <w:uiPriority w:val="9"/>
    <w:qFormat/>
    <w:rsid w:val="00160C5E"/>
    <w:pPr>
      <w:keepNext/>
      <w:keepLines/>
      <w:numPr>
        <w:numId w:val="6"/>
      </w:numPr>
      <w:spacing w:before="240" w:after="240"/>
      <w:outlineLvl w:val="0"/>
    </w:pPr>
    <w:rPr>
      <w:rFonts w:eastAsiaTheme="majorEastAsia" w:cstheme="majorBidi"/>
      <w:b/>
      <w:sz w:val="28"/>
      <w:szCs w:val="32"/>
    </w:rPr>
  </w:style>
  <w:style w:type="paragraph" w:styleId="Antrat2">
    <w:name w:val="heading 2"/>
    <w:basedOn w:val="prastasis"/>
    <w:next w:val="prastasis"/>
    <w:link w:val="Antrat2Diagrama"/>
    <w:uiPriority w:val="9"/>
    <w:unhideWhenUsed/>
    <w:qFormat/>
    <w:rsid w:val="00915C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E0673"/>
    <w:pPr>
      <w:ind w:left="720"/>
      <w:contextualSpacing/>
    </w:pPr>
  </w:style>
  <w:style w:type="paragraph" w:styleId="Antrats">
    <w:name w:val="header"/>
    <w:basedOn w:val="prastasis"/>
    <w:link w:val="AntratsDiagrama"/>
    <w:uiPriority w:val="99"/>
    <w:unhideWhenUsed/>
    <w:rsid w:val="000E0673"/>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E0673"/>
  </w:style>
  <w:style w:type="paragraph" w:styleId="Porat">
    <w:name w:val="footer"/>
    <w:basedOn w:val="prastasis"/>
    <w:link w:val="PoratDiagrama"/>
    <w:uiPriority w:val="99"/>
    <w:unhideWhenUsed/>
    <w:rsid w:val="000E0673"/>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E0673"/>
  </w:style>
  <w:style w:type="character" w:styleId="Hipersaitas">
    <w:name w:val="Hyperlink"/>
    <w:basedOn w:val="Numatytasispastraiposriftas"/>
    <w:uiPriority w:val="99"/>
    <w:unhideWhenUsed/>
    <w:rsid w:val="00D1170A"/>
    <w:rPr>
      <w:color w:val="0563C1" w:themeColor="hyperlink"/>
      <w:u w:val="single"/>
    </w:rPr>
  </w:style>
  <w:style w:type="character" w:customStyle="1" w:styleId="UnresolvedMention">
    <w:name w:val="Unresolved Mention"/>
    <w:basedOn w:val="Numatytasispastraiposriftas"/>
    <w:uiPriority w:val="99"/>
    <w:semiHidden/>
    <w:unhideWhenUsed/>
    <w:rsid w:val="00D1170A"/>
    <w:rPr>
      <w:color w:val="605E5C"/>
      <w:shd w:val="clear" w:color="auto" w:fill="E1DFDD"/>
    </w:rPr>
  </w:style>
  <w:style w:type="paragraph" w:styleId="Puslapioinaostekstas">
    <w:name w:val="footnote text"/>
    <w:basedOn w:val="prastasis"/>
    <w:link w:val="PuslapioinaostekstasDiagrama"/>
    <w:uiPriority w:val="99"/>
    <w:semiHidden/>
    <w:unhideWhenUsed/>
    <w:rsid w:val="00160C5E"/>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60C5E"/>
    <w:rPr>
      <w:sz w:val="20"/>
      <w:szCs w:val="20"/>
    </w:rPr>
  </w:style>
  <w:style w:type="character" w:styleId="Puslapioinaosnuoroda">
    <w:name w:val="footnote reference"/>
    <w:basedOn w:val="Numatytasispastraiposriftas"/>
    <w:uiPriority w:val="99"/>
    <w:semiHidden/>
    <w:unhideWhenUsed/>
    <w:rsid w:val="00160C5E"/>
    <w:rPr>
      <w:vertAlign w:val="superscript"/>
    </w:rPr>
  </w:style>
  <w:style w:type="character" w:customStyle="1" w:styleId="Antrat1Diagrama">
    <w:name w:val="Antraštė 1 Diagrama"/>
    <w:basedOn w:val="Numatytasispastraiposriftas"/>
    <w:link w:val="Antrat1"/>
    <w:uiPriority w:val="9"/>
    <w:rsid w:val="00160C5E"/>
    <w:rPr>
      <w:rFonts w:ascii="Times New Roman" w:eastAsiaTheme="majorEastAsia" w:hAnsi="Times New Roman" w:cstheme="majorBidi"/>
      <w:b/>
      <w:sz w:val="28"/>
      <w:szCs w:val="32"/>
    </w:rPr>
  </w:style>
  <w:style w:type="paragraph" w:styleId="Antrat">
    <w:name w:val="caption"/>
    <w:basedOn w:val="prastasis"/>
    <w:next w:val="prastasis"/>
    <w:uiPriority w:val="35"/>
    <w:unhideWhenUsed/>
    <w:qFormat/>
    <w:rsid w:val="000D5FC0"/>
    <w:pPr>
      <w:spacing w:after="200" w:line="240" w:lineRule="auto"/>
    </w:pPr>
    <w:rPr>
      <w:i/>
      <w:iCs/>
      <w:color w:val="44546A" w:themeColor="text2"/>
      <w:sz w:val="18"/>
      <w:szCs w:val="18"/>
    </w:rPr>
  </w:style>
  <w:style w:type="character" w:styleId="Perirtashipersaitas">
    <w:name w:val="FollowedHyperlink"/>
    <w:basedOn w:val="Numatytasispastraiposriftas"/>
    <w:uiPriority w:val="99"/>
    <w:semiHidden/>
    <w:unhideWhenUsed/>
    <w:rsid w:val="002A657F"/>
    <w:rPr>
      <w:color w:val="954F72" w:themeColor="followedHyperlink"/>
      <w:u w:val="single"/>
    </w:rPr>
  </w:style>
  <w:style w:type="table" w:styleId="Lentelstinklelis">
    <w:name w:val="Table Grid"/>
    <w:basedOn w:val="prastojilentel"/>
    <w:uiPriority w:val="39"/>
    <w:rsid w:val="00C8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915C04"/>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0C5E"/>
    <w:pPr>
      <w:spacing w:after="0"/>
      <w:ind w:firstLine="851"/>
    </w:pPr>
    <w:rPr>
      <w:rFonts w:ascii="Times New Roman" w:hAnsi="Times New Roman"/>
      <w:sz w:val="24"/>
    </w:rPr>
  </w:style>
  <w:style w:type="paragraph" w:styleId="Antrat1">
    <w:name w:val="heading 1"/>
    <w:basedOn w:val="prastasis"/>
    <w:next w:val="prastasis"/>
    <w:link w:val="Antrat1Diagrama"/>
    <w:uiPriority w:val="9"/>
    <w:qFormat/>
    <w:rsid w:val="00160C5E"/>
    <w:pPr>
      <w:keepNext/>
      <w:keepLines/>
      <w:numPr>
        <w:numId w:val="6"/>
      </w:numPr>
      <w:spacing w:before="240" w:after="240"/>
      <w:outlineLvl w:val="0"/>
    </w:pPr>
    <w:rPr>
      <w:rFonts w:eastAsiaTheme="majorEastAsia" w:cstheme="majorBidi"/>
      <w:b/>
      <w:sz w:val="28"/>
      <w:szCs w:val="32"/>
    </w:rPr>
  </w:style>
  <w:style w:type="paragraph" w:styleId="Antrat2">
    <w:name w:val="heading 2"/>
    <w:basedOn w:val="prastasis"/>
    <w:next w:val="prastasis"/>
    <w:link w:val="Antrat2Diagrama"/>
    <w:uiPriority w:val="9"/>
    <w:unhideWhenUsed/>
    <w:qFormat/>
    <w:rsid w:val="00915C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E0673"/>
    <w:pPr>
      <w:ind w:left="720"/>
      <w:contextualSpacing/>
    </w:pPr>
  </w:style>
  <w:style w:type="paragraph" w:styleId="Antrats">
    <w:name w:val="header"/>
    <w:basedOn w:val="prastasis"/>
    <w:link w:val="AntratsDiagrama"/>
    <w:uiPriority w:val="99"/>
    <w:unhideWhenUsed/>
    <w:rsid w:val="000E0673"/>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E0673"/>
  </w:style>
  <w:style w:type="paragraph" w:styleId="Porat">
    <w:name w:val="footer"/>
    <w:basedOn w:val="prastasis"/>
    <w:link w:val="PoratDiagrama"/>
    <w:uiPriority w:val="99"/>
    <w:unhideWhenUsed/>
    <w:rsid w:val="000E0673"/>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E0673"/>
  </w:style>
  <w:style w:type="character" w:styleId="Hipersaitas">
    <w:name w:val="Hyperlink"/>
    <w:basedOn w:val="Numatytasispastraiposriftas"/>
    <w:uiPriority w:val="99"/>
    <w:unhideWhenUsed/>
    <w:rsid w:val="00D1170A"/>
    <w:rPr>
      <w:color w:val="0563C1" w:themeColor="hyperlink"/>
      <w:u w:val="single"/>
    </w:rPr>
  </w:style>
  <w:style w:type="character" w:customStyle="1" w:styleId="UnresolvedMention">
    <w:name w:val="Unresolved Mention"/>
    <w:basedOn w:val="Numatytasispastraiposriftas"/>
    <w:uiPriority w:val="99"/>
    <w:semiHidden/>
    <w:unhideWhenUsed/>
    <w:rsid w:val="00D1170A"/>
    <w:rPr>
      <w:color w:val="605E5C"/>
      <w:shd w:val="clear" w:color="auto" w:fill="E1DFDD"/>
    </w:rPr>
  </w:style>
  <w:style w:type="paragraph" w:styleId="Puslapioinaostekstas">
    <w:name w:val="footnote text"/>
    <w:basedOn w:val="prastasis"/>
    <w:link w:val="PuslapioinaostekstasDiagrama"/>
    <w:uiPriority w:val="99"/>
    <w:semiHidden/>
    <w:unhideWhenUsed/>
    <w:rsid w:val="00160C5E"/>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60C5E"/>
    <w:rPr>
      <w:sz w:val="20"/>
      <w:szCs w:val="20"/>
    </w:rPr>
  </w:style>
  <w:style w:type="character" w:styleId="Puslapioinaosnuoroda">
    <w:name w:val="footnote reference"/>
    <w:basedOn w:val="Numatytasispastraiposriftas"/>
    <w:uiPriority w:val="99"/>
    <w:semiHidden/>
    <w:unhideWhenUsed/>
    <w:rsid w:val="00160C5E"/>
    <w:rPr>
      <w:vertAlign w:val="superscript"/>
    </w:rPr>
  </w:style>
  <w:style w:type="character" w:customStyle="1" w:styleId="Antrat1Diagrama">
    <w:name w:val="Antraštė 1 Diagrama"/>
    <w:basedOn w:val="Numatytasispastraiposriftas"/>
    <w:link w:val="Antrat1"/>
    <w:uiPriority w:val="9"/>
    <w:rsid w:val="00160C5E"/>
    <w:rPr>
      <w:rFonts w:ascii="Times New Roman" w:eastAsiaTheme="majorEastAsia" w:hAnsi="Times New Roman" w:cstheme="majorBidi"/>
      <w:b/>
      <w:sz w:val="28"/>
      <w:szCs w:val="32"/>
    </w:rPr>
  </w:style>
  <w:style w:type="paragraph" w:styleId="Antrat">
    <w:name w:val="caption"/>
    <w:basedOn w:val="prastasis"/>
    <w:next w:val="prastasis"/>
    <w:uiPriority w:val="35"/>
    <w:unhideWhenUsed/>
    <w:qFormat/>
    <w:rsid w:val="000D5FC0"/>
    <w:pPr>
      <w:spacing w:after="200" w:line="240" w:lineRule="auto"/>
    </w:pPr>
    <w:rPr>
      <w:i/>
      <w:iCs/>
      <w:color w:val="44546A" w:themeColor="text2"/>
      <w:sz w:val="18"/>
      <w:szCs w:val="18"/>
    </w:rPr>
  </w:style>
  <w:style w:type="character" w:styleId="Perirtashipersaitas">
    <w:name w:val="FollowedHyperlink"/>
    <w:basedOn w:val="Numatytasispastraiposriftas"/>
    <w:uiPriority w:val="99"/>
    <w:semiHidden/>
    <w:unhideWhenUsed/>
    <w:rsid w:val="002A657F"/>
    <w:rPr>
      <w:color w:val="954F72" w:themeColor="followedHyperlink"/>
      <w:u w:val="single"/>
    </w:rPr>
  </w:style>
  <w:style w:type="table" w:styleId="Lentelstinklelis">
    <w:name w:val="Table Grid"/>
    <w:basedOn w:val="prastojilentel"/>
    <w:uiPriority w:val="39"/>
    <w:rsid w:val="00C80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uiPriority w:val="9"/>
    <w:rsid w:val="00915C0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7775">
      <w:bodyDiv w:val="1"/>
      <w:marLeft w:val="0"/>
      <w:marRight w:val="0"/>
      <w:marTop w:val="0"/>
      <w:marBottom w:val="0"/>
      <w:divBdr>
        <w:top w:val="none" w:sz="0" w:space="0" w:color="auto"/>
        <w:left w:val="none" w:sz="0" w:space="0" w:color="auto"/>
        <w:bottom w:val="none" w:sz="0" w:space="0" w:color="auto"/>
        <w:right w:val="none" w:sz="0" w:space="0" w:color="auto"/>
      </w:divBdr>
    </w:div>
    <w:div w:id="45379713">
      <w:bodyDiv w:val="1"/>
      <w:marLeft w:val="0"/>
      <w:marRight w:val="0"/>
      <w:marTop w:val="0"/>
      <w:marBottom w:val="0"/>
      <w:divBdr>
        <w:top w:val="none" w:sz="0" w:space="0" w:color="auto"/>
        <w:left w:val="none" w:sz="0" w:space="0" w:color="auto"/>
        <w:bottom w:val="none" w:sz="0" w:space="0" w:color="auto"/>
        <w:right w:val="none" w:sz="0" w:space="0" w:color="auto"/>
      </w:divBdr>
    </w:div>
    <w:div w:id="67921187">
      <w:bodyDiv w:val="1"/>
      <w:marLeft w:val="0"/>
      <w:marRight w:val="0"/>
      <w:marTop w:val="0"/>
      <w:marBottom w:val="0"/>
      <w:divBdr>
        <w:top w:val="none" w:sz="0" w:space="0" w:color="auto"/>
        <w:left w:val="none" w:sz="0" w:space="0" w:color="auto"/>
        <w:bottom w:val="none" w:sz="0" w:space="0" w:color="auto"/>
        <w:right w:val="none" w:sz="0" w:space="0" w:color="auto"/>
      </w:divBdr>
    </w:div>
    <w:div w:id="668799211">
      <w:bodyDiv w:val="1"/>
      <w:marLeft w:val="0"/>
      <w:marRight w:val="0"/>
      <w:marTop w:val="0"/>
      <w:marBottom w:val="0"/>
      <w:divBdr>
        <w:top w:val="none" w:sz="0" w:space="0" w:color="auto"/>
        <w:left w:val="none" w:sz="0" w:space="0" w:color="auto"/>
        <w:bottom w:val="none" w:sz="0" w:space="0" w:color="auto"/>
        <w:right w:val="none" w:sz="0" w:space="0" w:color="auto"/>
      </w:divBdr>
    </w:div>
    <w:div w:id="769159528">
      <w:bodyDiv w:val="1"/>
      <w:marLeft w:val="0"/>
      <w:marRight w:val="0"/>
      <w:marTop w:val="0"/>
      <w:marBottom w:val="0"/>
      <w:divBdr>
        <w:top w:val="none" w:sz="0" w:space="0" w:color="auto"/>
        <w:left w:val="none" w:sz="0" w:space="0" w:color="auto"/>
        <w:bottom w:val="none" w:sz="0" w:space="0" w:color="auto"/>
        <w:right w:val="none" w:sz="0" w:space="0" w:color="auto"/>
      </w:divBdr>
    </w:div>
    <w:div w:id="780563613">
      <w:bodyDiv w:val="1"/>
      <w:marLeft w:val="0"/>
      <w:marRight w:val="0"/>
      <w:marTop w:val="0"/>
      <w:marBottom w:val="0"/>
      <w:divBdr>
        <w:top w:val="none" w:sz="0" w:space="0" w:color="auto"/>
        <w:left w:val="none" w:sz="0" w:space="0" w:color="auto"/>
        <w:bottom w:val="none" w:sz="0" w:space="0" w:color="auto"/>
        <w:right w:val="none" w:sz="0" w:space="0" w:color="auto"/>
      </w:divBdr>
    </w:div>
    <w:div w:id="841744478">
      <w:bodyDiv w:val="1"/>
      <w:marLeft w:val="0"/>
      <w:marRight w:val="0"/>
      <w:marTop w:val="0"/>
      <w:marBottom w:val="0"/>
      <w:divBdr>
        <w:top w:val="none" w:sz="0" w:space="0" w:color="auto"/>
        <w:left w:val="none" w:sz="0" w:space="0" w:color="auto"/>
        <w:bottom w:val="none" w:sz="0" w:space="0" w:color="auto"/>
        <w:right w:val="none" w:sz="0" w:space="0" w:color="auto"/>
      </w:divBdr>
    </w:div>
    <w:div w:id="955210902">
      <w:bodyDiv w:val="1"/>
      <w:marLeft w:val="0"/>
      <w:marRight w:val="0"/>
      <w:marTop w:val="0"/>
      <w:marBottom w:val="0"/>
      <w:divBdr>
        <w:top w:val="none" w:sz="0" w:space="0" w:color="auto"/>
        <w:left w:val="none" w:sz="0" w:space="0" w:color="auto"/>
        <w:bottom w:val="none" w:sz="0" w:space="0" w:color="auto"/>
        <w:right w:val="none" w:sz="0" w:space="0" w:color="auto"/>
      </w:divBdr>
    </w:div>
    <w:div w:id="966203330">
      <w:bodyDiv w:val="1"/>
      <w:marLeft w:val="0"/>
      <w:marRight w:val="0"/>
      <w:marTop w:val="0"/>
      <w:marBottom w:val="0"/>
      <w:divBdr>
        <w:top w:val="none" w:sz="0" w:space="0" w:color="auto"/>
        <w:left w:val="none" w:sz="0" w:space="0" w:color="auto"/>
        <w:bottom w:val="none" w:sz="0" w:space="0" w:color="auto"/>
        <w:right w:val="none" w:sz="0" w:space="0" w:color="auto"/>
      </w:divBdr>
    </w:div>
    <w:div w:id="1081289891">
      <w:bodyDiv w:val="1"/>
      <w:marLeft w:val="0"/>
      <w:marRight w:val="0"/>
      <w:marTop w:val="0"/>
      <w:marBottom w:val="0"/>
      <w:divBdr>
        <w:top w:val="none" w:sz="0" w:space="0" w:color="auto"/>
        <w:left w:val="none" w:sz="0" w:space="0" w:color="auto"/>
        <w:bottom w:val="none" w:sz="0" w:space="0" w:color="auto"/>
        <w:right w:val="none" w:sz="0" w:space="0" w:color="auto"/>
      </w:divBdr>
    </w:div>
    <w:div w:id="1312098099">
      <w:bodyDiv w:val="1"/>
      <w:marLeft w:val="0"/>
      <w:marRight w:val="0"/>
      <w:marTop w:val="0"/>
      <w:marBottom w:val="0"/>
      <w:divBdr>
        <w:top w:val="none" w:sz="0" w:space="0" w:color="auto"/>
        <w:left w:val="none" w:sz="0" w:space="0" w:color="auto"/>
        <w:bottom w:val="none" w:sz="0" w:space="0" w:color="auto"/>
        <w:right w:val="none" w:sz="0" w:space="0" w:color="auto"/>
      </w:divBdr>
    </w:div>
    <w:div w:id="1489594239">
      <w:bodyDiv w:val="1"/>
      <w:marLeft w:val="0"/>
      <w:marRight w:val="0"/>
      <w:marTop w:val="0"/>
      <w:marBottom w:val="0"/>
      <w:divBdr>
        <w:top w:val="none" w:sz="0" w:space="0" w:color="auto"/>
        <w:left w:val="none" w:sz="0" w:space="0" w:color="auto"/>
        <w:bottom w:val="none" w:sz="0" w:space="0" w:color="auto"/>
        <w:right w:val="none" w:sz="0" w:space="0" w:color="auto"/>
      </w:divBdr>
    </w:div>
    <w:div w:id="1544244567">
      <w:bodyDiv w:val="1"/>
      <w:marLeft w:val="0"/>
      <w:marRight w:val="0"/>
      <w:marTop w:val="0"/>
      <w:marBottom w:val="0"/>
      <w:divBdr>
        <w:top w:val="none" w:sz="0" w:space="0" w:color="auto"/>
        <w:left w:val="none" w:sz="0" w:space="0" w:color="auto"/>
        <w:bottom w:val="none" w:sz="0" w:space="0" w:color="auto"/>
        <w:right w:val="none" w:sz="0" w:space="0" w:color="auto"/>
      </w:divBdr>
    </w:div>
    <w:div w:id="198693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europe/publications/i/item/9789289051316" TargetMode="External"/><Relationship Id="rId2" Type="http://schemas.openxmlformats.org/officeDocument/2006/relationships/hyperlink" Target="https://www.who.int/europe/tools-and-toolkits/airq---software-tool-for-health-risk-assessment-of-air-pollution" TargetMode="External"/><Relationship Id="rId1" Type="http://schemas.openxmlformats.org/officeDocument/2006/relationships/hyperlink" Target="https://nvsc.lrv.lt/uploads/nvsc/documents/files/PVSV_KD2_5_2015-%202021_duomenys.pdf" TargetMode="External"/><Relationship Id="rId5" Type="http://schemas.openxmlformats.org/officeDocument/2006/relationships/hyperlink" Target="https://nvsc.lrv.lt/uploads/nvsc/documents/files/PVSV_KD2_5_2015-2021_duomenys.pdf" TargetMode="External"/><Relationship Id="rId4" Type="http://schemas.openxmlformats.org/officeDocument/2006/relationships/hyperlink" Target="https://www.who.int/publications/i/item/9789240034228"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Users/Ramune.Poliakoviene/Desktop/AIRQ%20duomenys/nauja%20analiz&#279;%202024/atnaujinti%20grafikai%20oro%20tar&#353;ai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Ramune.Poliakoviene/Desktop/AIRQ%20duomenys/nauja%20analiz&#279;%202024/atnaujinti%20grafikai%20oro%20tar&#353;ai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Ramune.Poliakoviene/Desktop/AIRQ%20duomenys/nauja%20analiz&#279;%202024/atnaujinti%20grafikai%20oro%20tar&#353;ai_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Ramune.Poliakoviene/Desktop/AIRQ%20duomenys/nauja%20analiz&#279;%202024/atnaujinti%20grafikai%20oro%20tar&#353;ai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Ramune.Poliakoviene/Desktop/AIRQ%20duomenys/nauja%20analiz&#279;%202024/atnaujinti%20grafikai%20oro%20tar&#353;ai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'oro tarša'!$A$2</c:f>
              <c:strCache>
                <c:ptCount val="1"/>
                <c:pt idx="0">
                  <c:v>Vilnius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tarša'!$B$2:$H$2</c:f>
              <c:numCache>
                <c:formatCode>General</c:formatCode>
                <c:ptCount val="7"/>
                <c:pt idx="0">
                  <c:v>14.5</c:v>
                </c:pt>
                <c:pt idx="1">
                  <c:v>14.1</c:v>
                </c:pt>
                <c:pt idx="2">
                  <c:v>13.4</c:v>
                </c:pt>
                <c:pt idx="3">
                  <c:v>12.8</c:v>
                </c:pt>
                <c:pt idx="4">
                  <c:v>12.5</c:v>
                </c:pt>
                <c:pt idx="5">
                  <c:v>12.3</c:v>
                </c:pt>
                <c:pt idx="6">
                  <c:v>11.5</c:v>
                </c:pt>
              </c:numCache>
            </c:numRef>
          </c:val>
          <c:smooth val="0"/>
          <c:extLst xmlns:c16r2="http://schemas.microsoft.com/office/drawing/2015/06/chart">
            <c:ext xmlns:c16="http://schemas.microsoft.com/office/drawing/2014/chart" uri="{C3380CC4-5D6E-409C-BE32-E72D297353CC}">
              <c16:uniqueId val="{00000000-469B-4060-BF47-A055B539C352}"/>
            </c:ext>
          </c:extLst>
        </c:ser>
        <c:ser>
          <c:idx val="1"/>
          <c:order val="1"/>
          <c:tx>
            <c:strRef>
              <c:f>'oro tarša'!$A$3</c:f>
              <c:strCache>
                <c:ptCount val="1"/>
                <c:pt idx="0">
                  <c:v>Kaunas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tarša'!$B$3:$H$3</c:f>
              <c:numCache>
                <c:formatCode>General</c:formatCode>
                <c:ptCount val="7"/>
                <c:pt idx="0">
                  <c:v>11</c:v>
                </c:pt>
                <c:pt idx="1">
                  <c:v>11.4</c:v>
                </c:pt>
                <c:pt idx="2">
                  <c:v>12.4</c:v>
                </c:pt>
                <c:pt idx="3">
                  <c:v>12.3</c:v>
                </c:pt>
                <c:pt idx="4">
                  <c:v>11.8</c:v>
                </c:pt>
                <c:pt idx="5">
                  <c:v>10.4</c:v>
                </c:pt>
                <c:pt idx="6">
                  <c:v>9.6999999999999993</c:v>
                </c:pt>
              </c:numCache>
            </c:numRef>
          </c:val>
          <c:smooth val="0"/>
          <c:extLst xmlns:c16r2="http://schemas.microsoft.com/office/drawing/2015/06/chart">
            <c:ext xmlns:c16="http://schemas.microsoft.com/office/drawing/2014/chart" uri="{C3380CC4-5D6E-409C-BE32-E72D297353CC}">
              <c16:uniqueId val="{00000001-469B-4060-BF47-A055B539C352}"/>
            </c:ext>
          </c:extLst>
        </c:ser>
        <c:ser>
          <c:idx val="2"/>
          <c:order val="2"/>
          <c:tx>
            <c:strRef>
              <c:f>'oro tarša'!$A$4</c:f>
              <c:strCache>
                <c:ptCount val="1"/>
                <c:pt idx="0">
                  <c:v>Klaipėda</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tarša'!$B$4:$H$4</c:f>
              <c:numCache>
                <c:formatCode>General</c:formatCode>
                <c:ptCount val="7"/>
                <c:pt idx="0">
                  <c:v>14.6</c:v>
                </c:pt>
                <c:pt idx="1">
                  <c:v>14.5</c:v>
                </c:pt>
                <c:pt idx="2">
                  <c:v>14.2</c:v>
                </c:pt>
                <c:pt idx="3">
                  <c:v>13.2</c:v>
                </c:pt>
                <c:pt idx="4">
                  <c:v>11.4</c:v>
                </c:pt>
                <c:pt idx="5">
                  <c:v>11.7</c:v>
                </c:pt>
                <c:pt idx="6">
                  <c:v>11.7</c:v>
                </c:pt>
              </c:numCache>
            </c:numRef>
          </c:val>
          <c:smooth val="0"/>
          <c:extLst xmlns:c16r2="http://schemas.microsoft.com/office/drawing/2015/06/chart">
            <c:ext xmlns:c16="http://schemas.microsoft.com/office/drawing/2014/chart" uri="{C3380CC4-5D6E-409C-BE32-E72D297353CC}">
              <c16:uniqueId val="{00000002-469B-4060-BF47-A055B539C352}"/>
            </c:ext>
          </c:extLst>
        </c:ser>
        <c:ser>
          <c:idx val="3"/>
          <c:order val="3"/>
          <c:tx>
            <c:strRef>
              <c:f>'oro tarša'!$A$5</c:f>
              <c:strCache>
                <c:ptCount val="1"/>
                <c:pt idx="0">
                  <c:v>Panevėžys</c:v>
                </c:pt>
              </c:strCache>
            </c:strRef>
          </c:tx>
          <c:spPr>
            <a:ln w="22225" cap="rnd">
              <a:solidFill>
                <a:schemeClr val="accent4"/>
              </a:solidFill>
              <a:round/>
            </a:ln>
            <a:effectLst/>
          </c:spPr>
          <c:marker>
            <c:symbol val="x"/>
            <c:size val="6"/>
            <c:spPr>
              <a:noFill/>
              <a:ln w="9525">
                <a:solidFill>
                  <a:schemeClr val="accent4"/>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tarša'!$B$5:$H$5</c:f>
              <c:numCache>
                <c:formatCode>General</c:formatCode>
                <c:ptCount val="7"/>
                <c:pt idx="0">
                  <c:v>8.6999999999999993</c:v>
                </c:pt>
                <c:pt idx="1">
                  <c:v>9</c:v>
                </c:pt>
                <c:pt idx="2">
                  <c:v>10.7</c:v>
                </c:pt>
                <c:pt idx="3">
                  <c:v>11.9</c:v>
                </c:pt>
                <c:pt idx="4">
                  <c:v>12.5</c:v>
                </c:pt>
                <c:pt idx="5">
                  <c:v>11</c:v>
                </c:pt>
                <c:pt idx="6">
                  <c:v>10.1</c:v>
                </c:pt>
              </c:numCache>
            </c:numRef>
          </c:val>
          <c:smooth val="0"/>
          <c:extLst xmlns:c16r2="http://schemas.microsoft.com/office/drawing/2015/06/chart">
            <c:ext xmlns:c16="http://schemas.microsoft.com/office/drawing/2014/chart" uri="{C3380CC4-5D6E-409C-BE32-E72D297353CC}">
              <c16:uniqueId val="{00000003-469B-4060-BF47-A055B539C352}"/>
            </c:ext>
          </c:extLst>
        </c:ser>
        <c:ser>
          <c:idx val="4"/>
          <c:order val="4"/>
          <c:tx>
            <c:strRef>
              <c:f>'oro tarša'!$A$6</c:f>
              <c:strCache>
                <c:ptCount val="1"/>
                <c:pt idx="0">
                  <c:v>Šiauliai </c:v>
                </c:pt>
              </c:strCache>
            </c:strRef>
          </c:tx>
          <c:spPr>
            <a:ln w="22225" cap="rnd">
              <a:solidFill>
                <a:schemeClr val="accent5"/>
              </a:solidFill>
              <a:round/>
            </a:ln>
            <a:effectLst/>
          </c:spPr>
          <c:marker>
            <c:symbol val="star"/>
            <c:size val="6"/>
            <c:spPr>
              <a:noFill/>
              <a:ln w="9525">
                <a:solidFill>
                  <a:schemeClr val="accent5"/>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tarša'!$B$6:$H$6</c:f>
              <c:numCache>
                <c:formatCode>General</c:formatCode>
                <c:ptCount val="7"/>
                <c:pt idx="0">
                  <c:v>10.199999999999999</c:v>
                </c:pt>
                <c:pt idx="1">
                  <c:v>12.1</c:v>
                </c:pt>
                <c:pt idx="2">
                  <c:v>13.1</c:v>
                </c:pt>
                <c:pt idx="3">
                  <c:v>14.4</c:v>
                </c:pt>
                <c:pt idx="4">
                  <c:v>13.2</c:v>
                </c:pt>
                <c:pt idx="5">
                  <c:v>13.2</c:v>
                </c:pt>
                <c:pt idx="6">
                  <c:v>12.7</c:v>
                </c:pt>
              </c:numCache>
            </c:numRef>
          </c:val>
          <c:smooth val="0"/>
          <c:extLst xmlns:c16r2="http://schemas.microsoft.com/office/drawing/2015/06/chart">
            <c:ext xmlns:c16="http://schemas.microsoft.com/office/drawing/2014/chart" uri="{C3380CC4-5D6E-409C-BE32-E72D297353CC}">
              <c16:uniqueId val="{00000004-469B-4060-BF47-A055B539C352}"/>
            </c:ext>
          </c:extLst>
        </c:ser>
        <c:ser>
          <c:idx val="5"/>
          <c:order val="5"/>
          <c:tx>
            <c:strRef>
              <c:f>'oro tarša'!$A$7</c:f>
              <c:strCache>
                <c:ptCount val="1"/>
                <c:pt idx="0">
                  <c:v>Mažeikiai </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tarša'!$B$7:$H$7</c:f>
              <c:numCache>
                <c:formatCode>General</c:formatCode>
                <c:ptCount val="7"/>
                <c:pt idx="0">
                  <c:v>14.8</c:v>
                </c:pt>
                <c:pt idx="1">
                  <c:v>14.9</c:v>
                </c:pt>
                <c:pt idx="2">
                  <c:v>14.9</c:v>
                </c:pt>
                <c:pt idx="3">
                  <c:v>14.7</c:v>
                </c:pt>
                <c:pt idx="4">
                  <c:v>12.6</c:v>
                </c:pt>
                <c:pt idx="5">
                  <c:v>10.1</c:v>
                </c:pt>
                <c:pt idx="6">
                  <c:v>8.1</c:v>
                </c:pt>
              </c:numCache>
            </c:numRef>
          </c:val>
          <c:smooth val="0"/>
          <c:extLst xmlns:c16r2="http://schemas.microsoft.com/office/drawing/2015/06/chart">
            <c:ext xmlns:c16="http://schemas.microsoft.com/office/drawing/2014/chart" uri="{C3380CC4-5D6E-409C-BE32-E72D297353CC}">
              <c16:uniqueId val="{00000005-469B-4060-BF47-A055B539C352}"/>
            </c:ext>
          </c:extLst>
        </c:ser>
        <c:ser>
          <c:idx val="6"/>
          <c:order val="6"/>
          <c:tx>
            <c:strRef>
              <c:f>'oro tarša'!$A$8</c:f>
              <c:strCache>
                <c:ptCount val="1"/>
                <c:pt idx="0">
                  <c:v>Naujoji Akmenė </c:v>
                </c:pt>
              </c:strCache>
            </c:strRef>
          </c:tx>
          <c:spPr>
            <a:ln w="22225" cap="rnd">
              <a:solidFill>
                <a:schemeClr val="accent1">
                  <a:lumMod val="60000"/>
                </a:schemeClr>
              </a:solidFill>
              <a:round/>
            </a:ln>
            <a:effectLst/>
          </c:spPr>
          <c:marker>
            <c:symbol val="plus"/>
            <c:size val="6"/>
            <c:spPr>
              <a:noFill/>
              <a:ln w="9525">
                <a:solidFill>
                  <a:schemeClr val="accent1">
                    <a:lumMod val="60000"/>
                  </a:schemeClr>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tarša'!$B$8:$H$8</c:f>
              <c:numCache>
                <c:formatCode>General</c:formatCode>
                <c:ptCount val="7"/>
                <c:pt idx="0">
                  <c:v>12.6</c:v>
                </c:pt>
                <c:pt idx="1">
                  <c:v>11.1</c:v>
                </c:pt>
                <c:pt idx="2">
                  <c:v>10.1</c:v>
                </c:pt>
                <c:pt idx="3">
                  <c:v>9.4</c:v>
                </c:pt>
                <c:pt idx="4">
                  <c:v>7.9</c:v>
                </c:pt>
                <c:pt idx="5">
                  <c:v>6.7</c:v>
                </c:pt>
                <c:pt idx="6">
                  <c:v>6.3</c:v>
                </c:pt>
              </c:numCache>
            </c:numRef>
          </c:val>
          <c:smooth val="0"/>
          <c:extLst xmlns:c16r2="http://schemas.microsoft.com/office/drawing/2015/06/chart">
            <c:ext xmlns:c16="http://schemas.microsoft.com/office/drawing/2014/chart" uri="{C3380CC4-5D6E-409C-BE32-E72D297353CC}">
              <c16:uniqueId val="{00000006-469B-4060-BF47-A055B539C352}"/>
            </c:ext>
          </c:extLst>
        </c:ser>
        <c:ser>
          <c:idx val="7"/>
          <c:order val="7"/>
          <c:tx>
            <c:strRef>
              <c:f>'oro tarša'!$A$9</c:f>
              <c:strCache>
                <c:ptCount val="1"/>
                <c:pt idx="0">
                  <c:v>Jonava </c:v>
                </c:pt>
              </c:strCache>
            </c:strRef>
          </c:tx>
          <c:spPr>
            <a:ln w="22225" cap="rnd">
              <a:solidFill>
                <a:schemeClr val="accent2">
                  <a:lumMod val="60000"/>
                </a:schemeClr>
              </a:solidFill>
              <a:round/>
            </a:ln>
            <a:effectLst/>
          </c:spPr>
          <c:marker>
            <c:symbol val="dot"/>
            <c:size val="6"/>
            <c:spPr>
              <a:solidFill>
                <a:schemeClr val="accent2">
                  <a:lumMod val="60000"/>
                </a:schemeClr>
              </a:solidFill>
              <a:ln w="9525">
                <a:solidFill>
                  <a:schemeClr val="accent2">
                    <a:lumMod val="60000"/>
                  </a:schemeClr>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tarša'!$B$9:$H$9</c:f>
              <c:numCache>
                <c:formatCode>General</c:formatCode>
                <c:ptCount val="7"/>
                <c:pt idx="0">
                  <c:v>8.6999999999999993</c:v>
                </c:pt>
                <c:pt idx="1">
                  <c:v>7.4</c:v>
                </c:pt>
                <c:pt idx="2">
                  <c:v>9</c:v>
                </c:pt>
                <c:pt idx="3">
                  <c:v>10.8</c:v>
                </c:pt>
                <c:pt idx="4">
                  <c:v>11.6</c:v>
                </c:pt>
                <c:pt idx="5">
                  <c:v>9.6</c:v>
                </c:pt>
                <c:pt idx="6">
                  <c:v>8.3000000000000007</c:v>
                </c:pt>
              </c:numCache>
            </c:numRef>
          </c:val>
          <c:smooth val="0"/>
          <c:extLst xmlns:c16r2="http://schemas.microsoft.com/office/drawing/2015/06/chart">
            <c:ext xmlns:c16="http://schemas.microsoft.com/office/drawing/2014/chart" uri="{C3380CC4-5D6E-409C-BE32-E72D297353CC}">
              <c16:uniqueId val="{00000007-469B-4060-BF47-A055B539C352}"/>
            </c:ext>
          </c:extLst>
        </c:ser>
        <c:ser>
          <c:idx val="8"/>
          <c:order val="8"/>
          <c:tx>
            <c:strRef>
              <c:f>'oro tarša'!$A$10</c:f>
              <c:strCache>
                <c:ptCount val="1"/>
                <c:pt idx="0">
                  <c:v>Kėdainiai </c:v>
                </c:pt>
              </c:strCache>
            </c:strRef>
          </c:tx>
          <c:spPr>
            <a:ln w="22225" cap="rnd">
              <a:solidFill>
                <a:schemeClr val="accent3">
                  <a:lumMod val="60000"/>
                </a:schemeClr>
              </a:solidFill>
              <a:round/>
            </a:ln>
            <a:effectLst/>
          </c:spPr>
          <c:marker>
            <c:symbol val="dash"/>
            <c:size val="6"/>
            <c:spPr>
              <a:solidFill>
                <a:schemeClr val="accent3">
                  <a:lumMod val="60000"/>
                </a:schemeClr>
              </a:solidFill>
              <a:ln w="9525">
                <a:solidFill>
                  <a:schemeClr val="accent3">
                    <a:lumMod val="60000"/>
                  </a:schemeClr>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tarša'!$B$10:$H$10</c:f>
              <c:numCache>
                <c:formatCode>General</c:formatCode>
                <c:ptCount val="7"/>
                <c:pt idx="0">
                  <c:v>11.7</c:v>
                </c:pt>
                <c:pt idx="1">
                  <c:v>12.1</c:v>
                </c:pt>
                <c:pt idx="2">
                  <c:v>13</c:v>
                </c:pt>
                <c:pt idx="3">
                  <c:v>14</c:v>
                </c:pt>
                <c:pt idx="4">
                  <c:v>13.4</c:v>
                </c:pt>
                <c:pt idx="5">
                  <c:v>11.6</c:v>
                </c:pt>
                <c:pt idx="6">
                  <c:v>9.1999999999999993</c:v>
                </c:pt>
              </c:numCache>
            </c:numRef>
          </c:val>
          <c:smooth val="0"/>
          <c:extLst xmlns:c16r2="http://schemas.microsoft.com/office/drawing/2015/06/chart">
            <c:ext xmlns:c16="http://schemas.microsoft.com/office/drawing/2014/chart" uri="{C3380CC4-5D6E-409C-BE32-E72D297353CC}">
              <c16:uniqueId val="{00000008-469B-4060-BF47-A055B539C352}"/>
            </c:ext>
          </c:extLst>
        </c:ser>
        <c:ser>
          <c:idx val="9"/>
          <c:order val="9"/>
          <c:tx>
            <c:strRef>
              <c:f>'oro tarša'!$A$11</c:f>
              <c:strCache>
                <c:ptCount val="1"/>
                <c:pt idx="0">
                  <c:v>PSO ribinis dydis, C_10</c:v>
                </c:pt>
              </c:strCache>
            </c:strRef>
          </c:tx>
          <c:spPr>
            <a:ln w="38100" cap="rnd">
              <a:solidFill>
                <a:srgbClr val="FF0000"/>
              </a:solidFill>
              <a:round/>
            </a:ln>
            <a:effectLst/>
          </c:spPr>
          <c:marker>
            <c:symbol val="diamond"/>
            <c:size val="6"/>
            <c:spPr>
              <a:solidFill>
                <a:schemeClr val="accent4">
                  <a:lumMod val="60000"/>
                </a:schemeClr>
              </a:solidFill>
              <a:ln w="9525">
                <a:solidFill>
                  <a:schemeClr val="accent4">
                    <a:lumMod val="60000"/>
                  </a:schemeClr>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tarša'!$B$11:$H$11</c:f>
              <c:numCache>
                <c:formatCode>General</c:formatCode>
                <c:ptCount val="7"/>
                <c:pt idx="0">
                  <c:v>10</c:v>
                </c:pt>
                <c:pt idx="1">
                  <c:v>10</c:v>
                </c:pt>
                <c:pt idx="2">
                  <c:v>10</c:v>
                </c:pt>
                <c:pt idx="3">
                  <c:v>10</c:v>
                </c:pt>
                <c:pt idx="4">
                  <c:v>10</c:v>
                </c:pt>
                <c:pt idx="5">
                  <c:v>10</c:v>
                </c:pt>
                <c:pt idx="6">
                  <c:v>10</c:v>
                </c:pt>
              </c:numCache>
            </c:numRef>
          </c:val>
          <c:smooth val="0"/>
          <c:extLst xmlns:c16r2="http://schemas.microsoft.com/office/drawing/2015/06/chart">
            <c:ext xmlns:c16="http://schemas.microsoft.com/office/drawing/2014/chart" uri="{C3380CC4-5D6E-409C-BE32-E72D297353CC}">
              <c16:uniqueId val="{00000009-469B-4060-BF47-A055B539C352}"/>
            </c:ext>
          </c:extLst>
        </c:ser>
        <c:ser>
          <c:idx val="10"/>
          <c:order val="10"/>
          <c:tx>
            <c:strRef>
              <c:f>'oro tarša'!$A$12</c:f>
              <c:strCache>
                <c:ptCount val="1"/>
                <c:pt idx="0">
                  <c:v>PSO ribinis dydis, C_5</c:v>
                </c:pt>
              </c:strCache>
            </c:strRef>
          </c:tx>
          <c:spPr>
            <a:ln w="38100" cap="rnd">
              <a:solidFill>
                <a:srgbClr val="FF0000"/>
              </a:solidFill>
              <a:round/>
            </a:ln>
            <a:effectLst/>
          </c:spPr>
          <c:marker>
            <c:symbol val="square"/>
            <c:size val="6"/>
            <c:spPr>
              <a:solidFill>
                <a:schemeClr val="accent5">
                  <a:lumMod val="60000"/>
                </a:schemeClr>
              </a:solidFill>
              <a:ln w="9525">
                <a:solidFill>
                  <a:schemeClr val="accent5">
                    <a:lumMod val="60000"/>
                  </a:schemeClr>
                </a:solidFill>
                <a:round/>
              </a:ln>
              <a:effectLst/>
            </c:spPr>
          </c:marker>
          <c:cat>
            <c:strRef>
              <c:f>'oro tarša'!$B$1:$H$1</c:f>
              <c:strCache>
                <c:ptCount val="7"/>
                <c:pt idx="0">
                  <c:v>2015–2017</c:v>
                </c:pt>
                <c:pt idx="1">
                  <c:v>2016–2018</c:v>
                </c:pt>
                <c:pt idx="2">
                  <c:v>2017–2019</c:v>
                </c:pt>
                <c:pt idx="3">
                  <c:v>2018–2020</c:v>
                </c:pt>
                <c:pt idx="4">
                  <c:v>2019–2021</c:v>
                </c:pt>
                <c:pt idx="5">
                  <c:v>2020-2022</c:v>
                </c:pt>
                <c:pt idx="6">
                  <c:v>2021-2023</c:v>
                </c:pt>
              </c:strCache>
            </c:strRef>
          </c:cat>
          <c:val>
            <c:numRef>
              <c:f>'oro tarša'!$B$12:$H$12</c:f>
              <c:numCache>
                <c:formatCode>General</c:formatCode>
                <c:ptCount val="7"/>
                <c:pt idx="0">
                  <c:v>5</c:v>
                </c:pt>
                <c:pt idx="1">
                  <c:v>5</c:v>
                </c:pt>
                <c:pt idx="2">
                  <c:v>5</c:v>
                </c:pt>
                <c:pt idx="3">
                  <c:v>5</c:v>
                </c:pt>
                <c:pt idx="4">
                  <c:v>5</c:v>
                </c:pt>
                <c:pt idx="5">
                  <c:v>5</c:v>
                </c:pt>
                <c:pt idx="6">
                  <c:v>5</c:v>
                </c:pt>
              </c:numCache>
            </c:numRef>
          </c:val>
          <c:smooth val="0"/>
          <c:extLst xmlns:c16r2="http://schemas.microsoft.com/office/drawing/2015/06/chart">
            <c:ext xmlns:c16="http://schemas.microsoft.com/office/drawing/2014/chart" uri="{C3380CC4-5D6E-409C-BE32-E72D297353CC}">
              <c16:uniqueId val="{0000000A-469B-4060-BF47-A055B539C352}"/>
            </c:ext>
          </c:extLst>
        </c:ser>
        <c:dLbls>
          <c:showLegendKey val="0"/>
          <c:showVal val="0"/>
          <c:showCatName val="0"/>
          <c:showSerName val="0"/>
          <c:showPercent val="0"/>
          <c:showBubbleSize val="0"/>
        </c:dLbls>
        <c:marker val="1"/>
        <c:smooth val="0"/>
        <c:axId val="141272064"/>
        <c:axId val="126428864"/>
      </c:lineChart>
      <c:catAx>
        <c:axId val="141272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lt-LT"/>
          </a:p>
        </c:txPr>
        <c:crossAx val="126428864"/>
        <c:crosses val="autoZero"/>
        <c:auto val="1"/>
        <c:lblAlgn val="ctr"/>
        <c:lblOffset val="100"/>
        <c:noMultiLvlLbl val="0"/>
      </c:catAx>
      <c:valAx>
        <c:axId val="12642886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1272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'dinamika LT_priešl_mirtys'!$A$2</c:f>
              <c:strCache>
                <c:ptCount val="1"/>
                <c:pt idx="0">
                  <c:v>Mirtys_C_5</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'dinamika LT_priešl_mirtys'!$B$1:$H$1</c:f>
              <c:strCache>
                <c:ptCount val="7"/>
                <c:pt idx="0">
                  <c:v>2015–2017</c:v>
                </c:pt>
                <c:pt idx="1">
                  <c:v>2016–2018</c:v>
                </c:pt>
                <c:pt idx="2">
                  <c:v>2017–2019</c:v>
                </c:pt>
                <c:pt idx="3">
                  <c:v>2018–2020</c:v>
                </c:pt>
                <c:pt idx="4">
                  <c:v>2019–2021</c:v>
                </c:pt>
                <c:pt idx="5">
                  <c:v>2020-2022</c:v>
                </c:pt>
                <c:pt idx="6">
                  <c:v>2021-2023</c:v>
                </c:pt>
              </c:strCache>
            </c:strRef>
          </c:cat>
          <c:val>
            <c:numRef>
              <c:f>'dinamika LT_priešl_mirtys'!$B$2:$H$2</c:f>
              <c:numCache>
                <c:formatCode>General</c:formatCode>
                <c:ptCount val="7"/>
                <c:pt idx="0">
                  <c:v>833</c:v>
                </c:pt>
                <c:pt idx="1">
                  <c:v>832</c:v>
                </c:pt>
                <c:pt idx="2">
                  <c:v>842</c:v>
                </c:pt>
                <c:pt idx="3">
                  <c:v>864</c:v>
                </c:pt>
                <c:pt idx="4">
                  <c:v>860</c:v>
                </c:pt>
                <c:pt idx="5">
                  <c:v>844</c:v>
                </c:pt>
                <c:pt idx="6">
                  <c:v>726</c:v>
                </c:pt>
              </c:numCache>
            </c:numRef>
          </c:val>
          <c:smooth val="0"/>
          <c:extLst xmlns:c16r2="http://schemas.microsoft.com/office/drawing/2015/06/chart">
            <c:ext xmlns:c16="http://schemas.microsoft.com/office/drawing/2014/chart" uri="{C3380CC4-5D6E-409C-BE32-E72D297353CC}">
              <c16:uniqueId val="{00000000-E560-451A-8A4E-3D7BB8B43EE7}"/>
            </c:ext>
          </c:extLst>
        </c:ser>
        <c:ser>
          <c:idx val="1"/>
          <c:order val="1"/>
          <c:tx>
            <c:strRef>
              <c:f>'dinamika LT_priešl_mirtys'!$A$3</c:f>
              <c:strCache>
                <c:ptCount val="1"/>
                <c:pt idx="0">
                  <c:v>Mirtys_C_10</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'dinamika LT_priešl_mirtys'!$B$1:$H$1</c:f>
              <c:strCache>
                <c:ptCount val="7"/>
                <c:pt idx="0">
                  <c:v>2015–2017</c:v>
                </c:pt>
                <c:pt idx="1">
                  <c:v>2016–2018</c:v>
                </c:pt>
                <c:pt idx="2">
                  <c:v>2017–2019</c:v>
                </c:pt>
                <c:pt idx="3">
                  <c:v>2018–2020</c:v>
                </c:pt>
                <c:pt idx="4">
                  <c:v>2019–2021</c:v>
                </c:pt>
                <c:pt idx="5">
                  <c:v>2020-2022</c:v>
                </c:pt>
                <c:pt idx="6">
                  <c:v>2021-2023</c:v>
                </c:pt>
              </c:strCache>
            </c:strRef>
          </c:cat>
          <c:val>
            <c:numRef>
              <c:f>'dinamika LT_priešl_mirtys'!$B$3:$H$3</c:f>
              <c:numCache>
                <c:formatCode>General</c:formatCode>
                <c:ptCount val="7"/>
                <c:pt idx="0">
                  <c:v>301</c:v>
                </c:pt>
                <c:pt idx="1">
                  <c:v>309</c:v>
                </c:pt>
                <c:pt idx="2">
                  <c:v>317</c:v>
                </c:pt>
                <c:pt idx="3">
                  <c:v>315</c:v>
                </c:pt>
                <c:pt idx="4">
                  <c:v>269</c:v>
                </c:pt>
                <c:pt idx="5">
                  <c:v>199</c:v>
                </c:pt>
                <c:pt idx="6">
                  <c:v>126</c:v>
                </c:pt>
              </c:numCache>
            </c:numRef>
          </c:val>
          <c:smooth val="0"/>
          <c:extLst xmlns:c16r2="http://schemas.microsoft.com/office/drawing/2015/06/chart">
            <c:ext xmlns:c16="http://schemas.microsoft.com/office/drawing/2014/chart" uri="{C3380CC4-5D6E-409C-BE32-E72D297353CC}">
              <c16:uniqueId val="{00000001-E560-451A-8A4E-3D7BB8B43EE7}"/>
            </c:ext>
          </c:extLst>
        </c:ser>
        <c:dLbls>
          <c:dLblPos val="t"/>
          <c:showLegendKey val="0"/>
          <c:showVal val="1"/>
          <c:showCatName val="0"/>
          <c:showSerName val="0"/>
          <c:showPercent val="0"/>
          <c:showBubbleSize val="0"/>
        </c:dLbls>
        <c:marker val="1"/>
        <c:smooth val="0"/>
        <c:axId val="140697088"/>
        <c:axId val="126433472"/>
      </c:lineChart>
      <c:catAx>
        <c:axId val="14069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26433472"/>
        <c:crosses val="autoZero"/>
        <c:auto val="1"/>
        <c:lblAlgn val="ctr"/>
        <c:lblOffset val="100"/>
        <c:noMultiLvlLbl val="0"/>
      </c:catAx>
      <c:valAx>
        <c:axId val="12643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0697088"/>
        <c:crosses val="autoZero"/>
        <c:crossBetween val="between"/>
      </c:valAx>
      <c:spPr>
        <a:noFill/>
        <a:ln w="25400">
          <a:noFill/>
        </a:ln>
        <a:effectLst/>
      </c:spPr>
    </c:plotArea>
    <c:legend>
      <c:legendPos val="b"/>
      <c:layout>
        <c:manualLayout>
          <c:xMode val="edge"/>
          <c:yMode val="edge"/>
          <c:x val="0.30109811097556466"/>
          <c:y val="0.77805941891516095"/>
          <c:w val="0.38371908617056671"/>
          <c:h val="8.1640629464132669E-2"/>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0"/>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'C10_prieš_mirtys_miest'!$A$2</c:f>
              <c:strCache>
                <c:ptCount val="1"/>
                <c:pt idx="0">
                  <c:v>Vilnius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'C10_prieš_mirtys_miest'!$B$2:$H$2</c:f>
              <c:numCache>
                <c:formatCode>General</c:formatCode>
                <c:ptCount val="7"/>
                <c:pt idx="0">
                  <c:v>181</c:v>
                </c:pt>
                <c:pt idx="1">
                  <c:v>164</c:v>
                </c:pt>
                <c:pt idx="2">
                  <c:v>135</c:v>
                </c:pt>
                <c:pt idx="3">
                  <c:v>116</c:v>
                </c:pt>
                <c:pt idx="4">
                  <c:v>113</c:v>
                </c:pt>
                <c:pt idx="5">
                  <c:v>110</c:v>
                </c:pt>
                <c:pt idx="6">
                  <c:v>69</c:v>
                </c:pt>
              </c:numCache>
            </c:numRef>
          </c:val>
          <c:smooth val="0"/>
          <c:extLst xmlns:c16r2="http://schemas.microsoft.com/office/drawing/2015/06/chart">
            <c:ext xmlns:c16="http://schemas.microsoft.com/office/drawing/2014/chart" uri="{C3380CC4-5D6E-409C-BE32-E72D297353CC}">
              <c16:uniqueId val="{00000000-4930-4D29-A408-0DDD37936E9B}"/>
            </c:ext>
          </c:extLst>
        </c:ser>
        <c:ser>
          <c:idx val="1"/>
          <c:order val="1"/>
          <c:tx>
            <c:strRef>
              <c:f>'C10_prieš_mirtys_miest'!$A$3</c:f>
              <c:strCache>
                <c:ptCount val="1"/>
                <c:pt idx="0">
                  <c:v>Kaunas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'C10_prieš_mirtys_miest'!$B$3:$H$3</c:f>
              <c:numCache>
                <c:formatCode>General</c:formatCode>
                <c:ptCount val="7"/>
                <c:pt idx="0">
                  <c:v>29</c:v>
                </c:pt>
                <c:pt idx="1">
                  <c:v>40</c:v>
                </c:pt>
                <c:pt idx="2">
                  <c:v>67</c:v>
                </c:pt>
                <c:pt idx="3">
                  <c:v>66</c:v>
                </c:pt>
                <c:pt idx="4">
                  <c:v>55</c:v>
                </c:pt>
                <c:pt idx="5">
                  <c:v>13</c:v>
                </c:pt>
                <c:pt idx="6">
                  <c:v>0</c:v>
                </c:pt>
              </c:numCache>
            </c:numRef>
          </c:val>
          <c:smooth val="0"/>
          <c:extLst xmlns:c16r2="http://schemas.microsoft.com/office/drawing/2015/06/chart">
            <c:ext xmlns:c16="http://schemas.microsoft.com/office/drawing/2014/chart" uri="{C3380CC4-5D6E-409C-BE32-E72D297353CC}">
              <c16:uniqueId val="{00000001-4930-4D29-A408-0DDD37936E9B}"/>
            </c:ext>
          </c:extLst>
        </c:ser>
        <c:ser>
          <c:idx val="2"/>
          <c:order val="2"/>
          <c:tx>
            <c:strRef>
              <c:f>'C10_prieš_mirtys_miest'!$A$4</c:f>
              <c:strCache>
                <c:ptCount val="1"/>
                <c:pt idx="0">
                  <c:v>Klaipėda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'C10_prieš_mirtys_miest'!$B$4:$H$4</c:f>
              <c:numCache>
                <c:formatCode>General</c:formatCode>
                <c:ptCount val="7"/>
                <c:pt idx="0">
                  <c:v>67</c:v>
                </c:pt>
                <c:pt idx="1">
                  <c:v>64</c:v>
                </c:pt>
                <c:pt idx="2">
                  <c:v>59</c:v>
                </c:pt>
                <c:pt idx="3">
                  <c:v>48</c:v>
                </c:pt>
                <c:pt idx="4">
                  <c:v>23</c:v>
                </c:pt>
                <c:pt idx="5">
                  <c:v>29</c:v>
                </c:pt>
                <c:pt idx="6">
                  <c:v>28</c:v>
                </c:pt>
              </c:numCache>
            </c:numRef>
          </c:val>
          <c:smooth val="0"/>
          <c:extLst xmlns:c16r2="http://schemas.microsoft.com/office/drawing/2015/06/chart">
            <c:ext xmlns:c16="http://schemas.microsoft.com/office/drawing/2014/chart" uri="{C3380CC4-5D6E-409C-BE32-E72D297353CC}">
              <c16:uniqueId val="{00000002-4930-4D29-A408-0DDD37936E9B}"/>
            </c:ext>
          </c:extLst>
        </c:ser>
        <c:ser>
          <c:idx val="3"/>
          <c:order val="3"/>
          <c:tx>
            <c:strRef>
              <c:f>'C10_prieš_mirtys_miest'!$A$5</c:f>
              <c:strCache>
                <c:ptCount val="1"/>
                <c:pt idx="0">
                  <c:v>Panevėžys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'C10_prieš_mirtys_miest'!$B$5:$H$5</c:f>
              <c:numCache>
                <c:formatCode>General</c:formatCode>
                <c:ptCount val="7"/>
                <c:pt idx="0">
                  <c:v>0</c:v>
                </c:pt>
                <c:pt idx="1">
                  <c:v>0</c:v>
                </c:pt>
                <c:pt idx="2">
                  <c:v>6</c:v>
                </c:pt>
                <c:pt idx="3">
                  <c:v>17</c:v>
                </c:pt>
                <c:pt idx="4">
                  <c:v>24</c:v>
                </c:pt>
                <c:pt idx="5">
                  <c:v>10</c:v>
                </c:pt>
                <c:pt idx="6">
                  <c:v>1</c:v>
                </c:pt>
              </c:numCache>
            </c:numRef>
          </c:val>
          <c:smooth val="0"/>
          <c:extLst xmlns:c16r2="http://schemas.microsoft.com/office/drawing/2015/06/chart">
            <c:ext xmlns:c16="http://schemas.microsoft.com/office/drawing/2014/chart" uri="{C3380CC4-5D6E-409C-BE32-E72D297353CC}">
              <c16:uniqueId val="{00000003-4930-4D29-A408-0DDD37936E9B}"/>
            </c:ext>
          </c:extLst>
        </c:ser>
        <c:ser>
          <c:idx val="4"/>
          <c:order val="4"/>
          <c:tx>
            <c:strRef>
              <c:f>'C10_prieš_mirtys_miest'!$A$6</c:f>
              <c:strCache>
                <c:ptCount val="1"/>
                <c:pt idx="0">
                  <c:v>Šiauliai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'C10_prieš_mirtys_miest'!$B$6:$H$6</c:f>
              <c:numCache>
                <c:formatCode>General</c:formatCode>
                <c:ptCount val="7"/>
                <c:pt idx="0">
                  <c:v>2</c:v>
                </c:pt>
                <c:pt idx="1">
                  <c:v>20</c:v>
                </c:pt>
                <c:pt idx="2">
                  <c:v>29</c:v>
                </c:pt>
                <c:pt idx="3">
                  <c:v>42</c:v>
                </c:pt>
                <c:pt idx="4">
                  <c:v>33</c:v>
                </c:pt>
                <c:pt idx="5">
                  <c:v>34</c:v>
                </c:pt>
                <c:pt idx="6">
                  <c:v>28</c:v>
                </c:pt>
              </c:numCache>
            </c:numRef>
          </c:val>
          <c:smooth val="0"/>
          <c:extLst xmlns:c16r2="http://schemas.microsoft.com/office/drawing/2015/06/chart">
            <c:ext xmlns:c16="http://schemas.microsoft.com/office/drawing/2014/chart" uri="{C3380CC4-5D6E-409C-BE32-E72D297353CC}">
              <c16:uniqueId val="{00000004-4930-4D29-A408-0DDD37936E9B}"/>
            </c:ext>
          </c:extLst>
        </c:ser>
        <c:ser>
          <c:idx val="5"/>
          <c:order val="5"/>
          <c:tx>
            <c:strRef>
              <c:f>'C10_prieš_mirtys_miest'!$A$7</c:f>
              <c:strCache>
                <c:ptCount val="1"/>
                <c:pt idx="0">
                  <c:v>Mažeikiai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'C10_prieš_mirtys_miest'!$B$7:$H$7</c:f>
              <c:numCache>
                <c:formatCode>General</c:formatCode>
                <c:ptCount val="7"/>
                <c:pt idx="0">
                  <c:v>14</c:v>
                </c:pt>
                <c:pt idx="1">
                  <c:v>14</c:v>
                </c:pt>
                <c:pt idx="2">
                  <c:v>14</c:v>
                </c:pt>
                <c:pt idx="3">
                  <c:v>14</c:v>
                </c:pt>
                <c:pt idx="4">
                  <c:v>7</c:v>
                </c:pt>
                <c:pt idx="5">
                  <c:v>1</c:v>
                </c:pt>
                <c:pt idx="6">
                  <c:v>0</c:v>
                </c:pt>
              </c:numCache>
            </c:numRef>
          </c:val>
          <c:smooth val="0"/>
          <c:extLst xmlns:c16r2="http://schemas.microsoft.com/office/drawing/2015/06/chart">
            <c:ext xmlns:c16="http://schemas.microsoft.com/office/drawing/2014/chart" uri="{C3380CC4-5D6E-409C-BE32-E72D297353CC}">
              <c16:uniqueId val="{00000005-4930-4D29-A408-0DDD37936E9B}"/>
            </c:ext>
          </c:extLst>
        </c:ser>
        <c:ser>
          <c:idx val="6"/>
          <c:order val="6"/>
          <c:tx>
            <c:strRef>
              <c:f>'C10_prieš_mirtys_miest'!$A$8</c:f>
              <c:strCache>
                <c:ptCount val="1"/>
                <c:pt idx="0">
                  <c:v>Naujoji Akmenė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'C10_prieš_mirtys_miest'!$B$8:$H$8</c:f>
              <c:numCache>
                <c:formatCode>General</c:formatCode>
                <c:ptCount val="7"/>
                <c:pt idx="0">
                  <c:v>4</c:v>
                </c:pt>
                <c:pt idx="1">
                  <c:v>2</c:v>
                </c:pt>
                <c:pt idx="2">
                  <c:v>0</c:v>
                </c:pt>
                <c:pt idx="3">
                  <c:v>0</c:v>
                </c:pt>
                <c:pt idx="4">
                  <c:v>0</c:v>
                </c:pt>
                <c:pt idx="5">
                  <c:v>0</c:v>
                </c:pt>
                <c:pt idx="6">
                  <c:v>0</c:v>
                </c:pt>
              </c:numCache>
            </c:numRef>
          </c:val>
          <c:smooth val="0"/>
          <c:extLst xmlns:c16r2="http://schemas.microsoft.com/office/drawing/2015/06/chart">
            <c:ext xmlns:c16="http://schemas.microsoft.com/office/drawing/2014/chart" uri="{C3380CC4-5D6E-409C-BE32-E72D297353CC}">
              <c16:uniqueId val="{00000006-4930-4D29-A408-0DDD37936E9B}"/>
            </c:ext>
          </c:extLst>
        </c:ser>
        <c:ser>
          <c:idx val="7"/>
          <c:order val="7"/>
          <c:tx>
            <c:strRef>
              <c:f>'C10_prieš_mirtys_miest'!$A$9</c:f>
              <c:strCache>
                <c:ptCount val="1"/>
                <c:pt idx="0">
                  <c:v>Jonava </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'C10_prieš_mirtys_miest'!$B$9:$H$9</c:f>
              <c:numCache>
                <c:formatCode>General</c:formatCode>
                <c:ptCount val="7"/>
                <c:pt idx="0">
                  <c:v>0</c:v>
                </c:pt>
                <c:pt idx="1">
                  <c:v>0</c:v>
                </c:pt>
                <c:pt idx="2">
                  <c:v>0</c:v>
                </c:pt>
                <c:pt idx="3">
                  <c:v>2</c:v>
                </c:pt>
                <c:pt idx="4">
                  <c:v>5</c:v>
                </c:pt>
                <c:pt idx="5">
                  <c:v>0</c:v>
                </c:pt>
                <c:pt idx="6">
                  <c:v>0</c:v>
                </c:pt>
              </c:numCache>
            </c:numRef>
          </c:val>
          <c:smooth val="0"/>
          <c:extLst xmlns:c16r2="http://schemas.microsoft.com/office/drawing/2015/06/chart">
            <c:ext xmlns:c16="http://schemas.microsoft.com/office/drawing/2014/chart" uri="{C3380CC4-5D6E-409C-BE32-E72D297353CC}">
              <c16:uniqueId val="{00000007-4930-4D29-A408-0DDD37936E9B}"/>
            </c:ext>
          </c:extLst>
        </c:ser>
        <c:ser>
          <c:idx val="8"/>
          <c:order val="8"/>
          <c:tx>
            <c:strRef>
              <c:f>'C10_prieš_mirtys_miest'!$A$10</c:f>
              <c:strCache>
                <c:ptCount val="1"/>
                <c:pt idx="0">
                  <c:v>Kėdainiai </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'C10_prieš_mirtys_miest'!$B$1:$H$1</c:f>
              <c:strCache>
                <c:ptCount val="7"/>
                <c:pt idx="0">
                  <c:v>2015–2017</c:v>
                </c:pt>
                <c:pt idx="1">
                  <c:v>2016–2018</c:v>
                </c:pt>
                <c:pt idx="2">
                  <c:v>2017–2019</c:v>
                </c:pt>
                <c:pt idx="3">
                  <c:v>2018–2020</c:v>
                </c:pt>
                <c:pt idx="4">
                  <c:v>2019–2021</c:v>
                </c:pt>
                <c:pt idx="5">
                  <c:v>2020-2022</c:v>
                </c:pt>
                <c:pt idx="6">
                  <c:v>2021-2023</c:v>
                </c:pt>
              </c:strCache>
            </c:strRef>
          </c:cat>
          <c:val>
            <c:numRef>
              <c:f>'C10_prieš_mirtys_miest'!$B$10:$H$10</c:f>
              <c:numCache>
                <c:formatCode>General</c:formatCode>
                <c:ptCount val="7"/>
                <c:pt idx="0">
                  <c:v>4</c:v>
                </c:pt>
                <c:pt idx="1">
                  <c:v>5</c:v>
                </c:pt>
                <c:pt idx="2">
                  <c:v>7</c:v>
                </c:pt>
                <c:pt idx="3">
                  <c:v>10</c:v>
                </c:pt>
                <c:pt idx="4">
                  <c:v>9</c:v>
                </c:pt>
                <c:pt idx="5">
                  <c:v>2</c:v>
                </c:pt>
                <c:pt idx="6">
                  <c:v>0</c:v>
                </c:pt>
              </c:numCache>
            </c:numRef>
          </c:val>
          <c:smooth val="0"/>
          <c:extLst xmlns:c16r2="http://schemas.microsoft.com/office/drawing/2015/06/chart">
            <c:ext xmlns:c16="http://schemas.microsoft.com/office/drawing/2014/chart" uri="{C3380CC4-5D6E-409C-BE32-E72D297353CC}">
              <c16:uniqueId val="{00000008-4930-4D29-A408-0DDD37936E9B}"/>
            </c:ext>
          </c:extLst>
        </c:ser>
        <c:dLbls>
          <c:showLegendKey val="0"/>
          <c:showVal val="0"/>
          <c:showCatName val="0"/>
          <c:showSerName val="0"/>
          <c:showPercent val="0"/>
          <c:showBubbleSize val="0"/>
        </c:dLbls>
        <c:marker val="1"/>
        <c:smooth val="0"/>
        <c:axId val="142862848"/>
        <c:axId val="138090112"/>
      </c:lineChart>
      <c:catAx>
        <c:axId val="14286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8090112"/>
        <c:crosses val="autoZero"/>
        <c:auto val="1"/>
        <c:lblAlgn val="ctr"/>
        <c:lblOffset val="100"/>
        <c:noMultiLvlLbl val="0"/>
      </c:catAx>
      <c:valAx>
        <c:axId val="138090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286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'C5_prieš_mirtys_miest'!$A$2</c:f>
              <c:strCache>
                <c:ptCount val="1"/>
                <c:pt idx="0">
                  <c:v>Vilnius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'C5_prieš_mirtys_miest'!$B$2:$H$2</c:f>
              <c:numCache>
                <c:formatCode>General</c:formatCode>
                <c:ptCount val="7"/>
                <c:pt idx="0">
                  <c:v>375</c:v>
                </c:pt>
                <c:pt idx="1">
                  <c:v>358</c:v>
                </c:pt>
                <c:pt idx="2">
                  <c:v>326</c:v>
                </c:pt>
                <c:pt idx="3">
                  <c:v>316</c:v>
                </c:pt>
                <c:pt idx="4">
                  <c:v>333</c:v>
                </c:pt>
                <c:pt idx="5">
                  <c:v>344</c:v>
                </c:pt>
                <c:pt idx="6">
                  <c:v>293</c:v>
                </c:pt>
              </c:numCache>
            </c:numRef>
          </c:val>
          <c:smooth val="0"/>
          <c:extLst xmlns:c16r2="http://schemas.microsoft.com/office/drawing/2015/06/chart">
            <c:ext xmlns:c16="http://schemas.microsoft.com/office/drawing/2014/chart" uri="{C3380CC4-5D6E-409C-BE32-E72D297353CC}">
              <c16:uniqueId val="{00000000-BE0E-4069-84C0-310625361D7D}"/>
            </c:ext>
          </c:extLst>
        </c:ser>
        <c:ser>
          <c:idx val="1"/>
          <c:order val="1"/>
          <c:tx>
            <c:strRef>
              <c:f>'C5_prieš_mirtys_miest'!$A$3</c:f>
              <c:strCache>
                <c:ptCount val="1"/>
                <c:pt idx="0">
                  <c:v>Kaunas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'C5_prieš_mirtys_miest'!$B$3:$H$3</c:f>
              <c:numCache>
                <c:formatCode>General</c:formatCode>
                <c:ptCount val="7"/>
                <c:pt idx="0">
                  <c:v>170</c:v>
                </c:pt>
                <c:pt idx="1">
                  <c:v>180</c:v>
                </c:pt>
                <c:pt idx="2">
                  <c:v>202</c:v>
                </c:pt>
                <c:pt idx="3">
                  <c:v>206</c:v>
                </c:pt>
                <c:pt idx="4">
                  <c:v>203</c:v>
                </c:pt>
                <c:pt idx="5">
                  <c:v>170</c:v>
                </c:pt>
                <c:pt idx="6">
                  <c:v>141</c:v>
                </c:pt>
              </c:numCache>
            </c:numRef>
          </c:val>
          <c:smooth val="0"/>
          <c:extLst xmlns:c16r2="http://schemas.microsoft.com/office/drawing/2015/06/chart">
            <c:ext xmlns:c16="http://schemas.microsoft.com/office/drawing/2014/chart" uri="{C3380CC4-5D6E-409C-BE32-E72D297353CC}">
              <c16:uniqueId val="{00000001-BE0E-4069-84C0-310625361D7D}"/>
            </c:ext>
          </c:extLst>
        </c:ser>
        <c:ser>
          <c:idx val="2"/>
          <c:order val="2"/>
          <c:tx>
            <c:strRef>
              <c:f>'C5_prieš_mirtys_miest'!$A$4</c:f>
              <c:strCache>
                <c:ptCount val="1"/>
                <c:pt idx="0">
                  <c:v>Klaipėda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'C5_prieš_mirtys_miest'!$B$4:$H$4</c:f>
              <c:numCache>
                <c:formatCode>General</c:formatCode>
                <c:ptCount val="7"/>
                <c:pt idx="0">
                  <c:v>138</c:v>
                </c:pt>
                <c:pt idx="1">
                  <c:v>132</c:v>
                </c:pt>
                <c:pt idx="2">
                  <c:v>127</c:v>
                </c:pt>
                <c:pt idx="3">
                  <c:v>120</c:v>
                </c:pt>
                <c:pt idx="4">
                  <c:v>103</c:v>
                </c:pt>
                <c:pt idx="5">
                  <c:v>112</c:v>
                </c:pt>
                <c:pt idx="6">
                  <c:v>107</c:v>
                </c:pt>
              </c:numCache>
            </c:numRef>
          </c:val>
          <c:smooth val="0"/>
          <c:extLst xmlns:c16r2="http://schemas.microsoft.com/office/drawing/2015/06/chart">
            <c:ext xmlns:c16="http://schemas.microsoft.com/office/drawing/2014/chart" uri="{C3380CC4-5D6E-409C-BE32-E72D297353CC}">
              <c16:uniqueId val="{00000002-BE0E-4069-84C0-310625361D7D}"/>
            </c:ext>
          </c:extLst>
        </c:ser>
        <c:ser>
          <c:idx val="3"/>
          <c:order val="3"/>
          <c:tx>
            <c:strRef>
              <c:f>'C5_prieš_mirtys_miest'!$A$5</c:f>
              <c:strCache>
                <c:ptCount val="1"/>
                <c:pt idx="0">
                  <c:v>Panevėžys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'C5_prieš_mirtys_miest'!$B$5:$H$5</c:f>
              <c:numCache>
                <c:formatCode>General</c:formatCode>
                <c:ptCount val="7"/>
                <c:pt idx="0">
                  <c:v>33</c:v>
                </c:pt>
                <c:pt idx="1">
                  <c:v>35</c:v>
                </c:pt>
                <c:pt idx="2">
                  <c:v>48</c:v>
                </c:pt>
                <c:pt idx="3">
                  <c:v>60</c:v>
                </c:pt>
                <c:pt idx="4">
                  <c:v>71</c:v>
                </c:pt>
                <c:pt idx="5">
                  <c:v>60</c:v>
                </c:pt>
                <c:pt idx="6">
                  <c:v>49</c:v>
                </c:pt>
              </c:numCache>
            </c:numRef>
          </c:val>
          <c:smooth val="0"/>
          <c:extLst xmlns:c16r2="http://schemas.microsoft.com/office/drawing/2015/06/chart">
            <c:ext xmlns:c16="http://schemas.microsoft.com/office/drawing/2014/chart" uri="{C3380CC4-5D6E-409C-BE32-E72D297353CC}">
              <c16:uniqueId val="{00000003-BE0E-4069-84C0-310625361D7D}"/>
            </c:ext>
          </c:extLst>
        </c:ser>
        <c:ser>
          <c:idx val="4"/>
          <c:order val="4"/>
          <c:tx>
            <c:strRef>
              <c:f>'C5_prieš_mirtys_miest'!$A$6</c:f>
              <c:strCache>
                <c:ptCount val="1"/>
                <c:pt idx="0">
                  <c:v>Šiauliai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'C5_prieš_mirtys_miest'!$B$6:$H$6</c:f>
              <c:numCache>
                <c:formatCode>General</c:formatCode>
                <c:ptCount val="7"/>
                <c:pt idx="0">
                  <c:v>49</c:v>
                </c:pt>
                <c:pt idx="1">
                  <c:v>66</c:v>
                </c:pt>
                <c:pt idx="2">
                  <c:v>74</c:v>
                </c:pt>
                <c:pt idx="3">
                  <c:v>89</c:v>
                </c:pt>
                <c:pt idx="4">
                  <c:v>82</c:v>
                </c:pt>
                <c:pt idx="5">
                  <c:v>63</c:v>
                </c:pt>
                <c:pt idx="6">
                  <c:v>77</c:v>
                </c:pt>
              </c:numCache>
            </c:numRef>
          </c:val>
          <c:smooth val="0"/>
          <c:extLst xmlns:c16r2="http://schemas.microsoft.com/office/drawing/2015/06/chart">
            <c:ext xmlns:c16="http://schemas.microsoft.com/office/drawing/2014/chart" uri="{C3380CC4-5D6E-409C-BE32-E72D297353CC}">
              <c16:uniqueId val="{00000004-BE0E-4069-84C0-310625361D7D}"/>
            </c:ext>
          </c:extLst>
        </c:ser>
        <c:ser>
          <c:idx val="5"/>
          <c:order val="5"/>
          <c:tx>
            <c:strRef>
              <c:f>'C5_prieš_mirtys_miest'!$A$7</c:f>
              <c:strCache>
                <c:ptCount val="1"/>
                <c:pt idx="0">
                  <c:v>Mažeikiai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'C5_prieš_mirtys_miest'!$B$7:$H$7</c:f>
              <c:numCache>
                <c:formatCode>General</c:formatCode>
                <c:ptCount val="7"/>
                <c:pt idx="0">
                  <c:v>28</c:v>
                </c:pt>
                <c:pt idx="1">
                  <c:v>27</c:v>
                </c:pt>
                <c:pt idx="2">
                  <c:v>28</c:v>
                </c:pt>
                <c:pt idx="3">
                  <c:v>28</c:v>
                </c:pt>
                <c:pt idx="4">
                  <c:v>20</c:v>
                </c:pt>
                <c:pt idx="5">
                  <c:v>26</c:v>
                </c:pt>
                <c:pt idx="6">
                  <c:v>15</c:v>
                </c:pt>
              </c:numCache>
            </c:numRef>
          </c:val>
          <c:smooth val="0"/>
          <c:extLst xmlns:c16r2="http://schemas.microsoft.com/office/drawing/2015/06/chart">
            <c:ext xmlns:c16="http://schemas.microsoft.com/office/drawing/2014/chart" uri="{C3380CC4-5D6E-409C-BE32-E72D297353CC}">
              <c16:uniqueId val="{00000005-BE0E-4069-84C0-310625361D7D}"/>
            </c:ext>
          </c:extLst>
        </c:ser>
        <c:ser>
          <c:idx val="6"/>
          <c:order val="6"/>
          <c:tx>
            <c:strRef>
              <c:f>'C5_prieš_mirtys_miest'!$A$8</c:f>
              <c:strCache>
                <c:ptCount val="1"/>
                <c:pt idx="0">
                  <c:v>Naujoji Akmenė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'C5_prieš_mirtys_miest'!$B$8:$H$8</c:f>
              <c:numCache>
                <c:formatCode>General</c:formatCode>
                <c:ptCount val="7"/>
                <c:pt idx="0">
                  <c:v>13</c:v>
                </c:pt>
                <c:pt idx="1">
                  <c:v>10</c:v>
                </c:pt>
                <c:pt idx="2">
                  <c:v>8</c:v>
                </c:pt>
                <c:pt idx="3">
                  <c:v>7</c:v>
                </c:pt>
                <c:pt idx="4">
                  <c:v>6</c:v>
                </c:pt>
                <c:pt idx="5">
                  <c:v>5</c:v>
                </c:pt>
                <c:pt idx="6">
                  <c:v>4</c:v>
                </c:pt>
              </c:numCache>
            </c:numRef>
          </c:val>
          <c:smooth val="0"/>
          <c:extLst xmlns:c16r2="http://schemas.microsoft.com/office/drawing/2015/06/chart">
            <c:ext xmlns:c16="http://schemas.microsoft.com/office/drawing/2014/chart" uri="{C3380CC4-5D6E-409C-BE32-E72D297353CC}">
              <c16:uniqueId val="{00000006-BE0E-4069-84C0-310625361D7D}"/>
            </c:ext>
          </c:extLst>
        </c:ser>
        <c:ser>
          <c:idx val="7"/>
          <c:order val="7"/>
          <c:tx>
            <c:strRef>
              <c:f>'C5_prieš_mirtys_miest'!$A$9</c:f>
              <c:strCache>
                <c:ptCount val="1"/>
                <c:pt idx="0">
                  <c:v>Jonava </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'C5_prieš_mirtys_miest'!$B$9:$H$9</c:f>
              <c:numCache>
                <c:formatCode>General</c:formatCode>
                <c:ptCount val="7"/>
                <c:pt idx="0">
                  <c:v>10</c:v>
                </c:pt>
                <c:pt idx="1">
                  <c:v>7</c:v>
                </c:pt>
                <c:pt idx="2">
                  <c:v>10</c:v>
                </c:pt>
                <c:pt idx="3">
                  <c:v>16</c:v>
                </c:pt>
                <c:pt idx="4">
                  <c:v>20</c:v>
                </c:pt>
                <c:pt idx="5">
                  <c:v>23</c:v>
                </c:pt>
                <c:pt idx="6">
                  <c:v>16</c:v>
                </c:pt>
              </c:numCache>
            </c:numRef>
          </c:val>
          <c:smooth val="0"/>
          <c:extLst xmlns:c16r2="http://schemas.microsoft.com/office/drawing/2015/06/chart">
            <c:ext xmlns:c16="http://schemas.microsoft.com/office/drawing/2014/chart" uri="{C3380CC4-5D6E-409C-BE32-E72D297353CC}">
              <c16:uniqueId val="{00000007-BE0E-4069-84C0-310625361D7D}"/>
            </c:ext>
          </c:extLst>
        </c:ser>
        <c:ser>
          <c:idx val="8"/>
          <c:order val="8"/>
          <c:tx>
            <c:strRef>
              <c:f>'C5_prieš_mirtys_miest'!$A$10</c:f>
              <c:strCache>
                <c:ptCount val="1"/>
                <c:pt idx="0">
                  <c:v>Kėdainiai </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'C5_prieš_mirtys_miest'!$B$1:$H$1</c:f>
              <c:strCache>
                <c:ptCount val="7"/>
                <c:pt idx="0">
                  <c:v>2015–2017</c:v>
                </c:pt>
                <c:pt idx="1">
                  <c:v>2016–2018</c:v>
                </c:pt>
                <c:pt idx="2">
                  <c:v>2017–2019</c:v>
                </c:pt>
                <c:pt idx="3">
                  <c:v>2018–2020</c:v>
                </c:pt>
                <c:pt idx="4">
                  <c:v>2019–2021</c:v>
                </c:pt>
                <c:pt idx="5">
                  <c:v>2020-2022</c:v>
                </c:pt>
                <c:pt idx="6">
                  <c:v>2021-2023</c:v>
                </c:pt>
              </c:strCache>
            </c:strRef>
          </c:cat>
          <c:val>
            <c:numRef>
              <c:f>'C5_prieš_mirtys_miest'!$B$10:$H$10</c:f>
              <c:numCache>
                <c:formatCode>General</c:formatCode>
                <c:ptCount val="7"/>
                <c:pt idx="0">
                  <c:v>17</c:v>
                </c:pt>
                <c:pt idx="1">
                  <c:v>17</c:v>
                </c:pt>
                <c:pt idx="2">
                  <c:v>19</c:v>
                </c:pt>
                <c:pt idx="3">
                  <c:v>22</c:v>
                </c:pt>
                <c:pt idx="4">
                  <c:v>22</c:v>
                </c:pt>
                <c:pt idx="5">
                  <c:v>41</c:v>
                </c:pt>
                <c:pt idx="6">
                  <c:v>24</c:v>
                </c:pt>
              </c:numCache>
            </c:numRef>
          </c:val>
          <c:smooth val="0"/>
          <c:extLst xmlns:c16r2="http://schemas.microsoft.com/office/drawing/2015/06/chart">
            <c:ext xmlns:c16="http://schemas.microsoft.com/office/drawing/2014/chart" uri="{C3380CC4-5D6E-409C-BE32-E72D297353CC}">
              <c16:uniqueId val="{00000008-BE0E-4069-84C0-310625361D7D}"/>
            </c:ext>
          </c:extLst>
        </c:ser>
        <c:dLbls>
          <c:showLegendKey val="0"/>
          <c:showVal val="0"/>
          <c:showCatName val="0"/>
          <c:showSerName val="0"/>
          <c:showPercent val="0"/>
          <c:showBubbleSize val="0"/>
        </c:dLbls>
        <c:marker val="1"/>
        <c:smooth val="0"/>
        <c:axId val="165233664"/>
        <c:axId val="138091840"/>
      </c:lineChart>
      <c:catAx>
        <c:axId val="16523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38091840"/>
        <c:crosses val="autoZero"/>
        <c:auto val="1"/>
        <c:lblAlgn val="ctr"/>
        <c:lblOffset val="100"/>
        <c:noMultiLvlLbl val="0"/>
      </c:catAx>
      <c:valAx>
        <c:axId val="13809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6523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46981627296588"/>
          <c:y val="6.9444444444444448E-2"/>
          <c:w val="0.87753018372703417"/>
          <c:h val="0.58646471274424028"/>
        </c:manualLayout>
      </c:layout>
      <c:lineChart>
        <c:grouping val="standard"/>
        <c:varyColors val="0"/>
        <c:ser>
          <c:idx val="0"/>
          <c:order val="0"/>
          <c:tx>
            <c:strRef>
              <c:f>mirtys100tūkst!$A$2</c:f>
              <c:strCache>
                <c:ptCount val="1"/>
                <c:pt idx="0">
                  <c:v>Vilnius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mirtys100tūkst!$B$2:$H$2</c:f>
              <c:numCache>
                <c:formatCode>General</c:formatCode>
                <c:ptCount val="7"/>
                <c:pt idx="0">
                  <c:v>1488</c:v>
                </c:pt>
                <c:pt idx="1">
                  <c:v>1455</c:v>
                </c:pt>
                <c:pt idx="2">
                  <c:v>1406</c:v>
                </c:pt>
                <c:pt idx="3">
                  <c:v>1441</c:v>
                </c:pt>
                <c:pt idx="4">
                  <c:v>1566</c:v>
                </c:pt>
                <c:pt idx="5">
                  <c:v>1636</c:v>
                </c:pt>
                <c:pt idx="6">
                  <c:v>1511</c:v>
                </c:pt>
              </c:numCache>
            </c:numRef>
          </c:val>
          <c:smooth val="0"/>
          <c:extLst xmlns:c16r2="http://schemas.microsoft.com/office/drawing/2015/06/chart">
            <c:ext xmlns:c16="http://schemas.microsoft.com/office/drawing/2014/chart" uri="{C3380CC4-5D6E-409C-BE32-E72D297353CC}">
              <c16:uniqueId val="{00000000-1850-413C-A5AE-A0C8A5B44BA7}"/>
            </c:ext>
          </c:extLst>
        </c:ser>
        <c:ser>
          <c:idx val="1"/>
          <c:order val="1"/>
          <c:tx>
            <c:strRef>
              <c:f>mirtys100tūkst!$A$3</c:f>
              <c:strCache>
                <c:ptCount val="1"/>
                <c:pt idx="0">
                  <c:v>Kaunas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mirtys100tūkst!$B$3:$H$3</c:f>
              <c:numCache>
                <c:formatCode>General</c:formatCode>
                <c:ptCount val="7"/>
                <c:pt idx="0">
                  <c:v>1928</c:v>
                </c:pt>
                <c:pt idx="1">
                  <c:v>1923</c:v>
                </c:pt>
                <c:pt idx="2">
                  <c:v>1869</c:v>
                </c:pt>
                <c:pt idx="3">
                  <c:v>1906</c:v>
                </c:pt>
                <c:pt idx="4">
                  <c:v>1966</c:v>
                </c:pt>
                <c:pt idx="5">
                  <c:v>2002</c:v>
                </c:pt>
                <c:pt idx="6">
                  <c:v>1891</c:v>
                </c:pt>
              </c:numCache>
            </c:numRef>
          </c:val>
          <c:smooth val="0"/>
          <c:extLst xmlns:c16r2="http://schemas.microsoft.com/office/drawing/2015/06/chart">
            <c:ext xmlns:c16="http://schemas.microsoft.com/office/drawing/2014/chart" uri="{C3380CC4-5D6E-409C-BE32-E72D297353CC}">
              <c16:uniqueId val="{00000001-1850-413C-A5AE-A0C8A5B44BA7}"/>
            </c:ext>
          </c:extLst>
        </c:ser>
        <c:ser>
          <c:idx val="2"/>
          <c:order val="2"/>
          <c:tx>
            <c:strRef>
              <c:f>mirtys100tūkst!$A$4</c:f>
              <c:strCache>
                <c:ptCount val="1"/>
                <c:pt idx="0">
                  <c:v>Klaipėda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mirtys100tūkst!$B$4:$H$4</c:f>
              <c:numCache>
                <c:formatCode>General</c:formatCode>
                <c:ptCount val="7"/>
                <c:pt idx="0">
                  <c:v>1889</c:v>
                </c:pt>
                <c:pt idx="1">
                  <c:v>1857</c:v>
                </c:pt>
                <c:pt idx="2">
                  <c:v>1855</c:v>
                </c:pt>
                <c:pt idx="3">
                  <c:v>1933</c:v>
                </c:pt>
                <c:pt idx="4">
                  <c:v>2083</c:v>
                </c:pt>
                <c:pt idx="5">
                  <c:v>2084</c:v>
                </c:pt>
                <c:pt idx="6">
                  <c:v>1947</c:v>
                </c:pt>
              </c:numCache>
            </c:numRef>
          </c:val>
          <c:smooth val="0"/>
          <c:extLst xmlns:c16r2="http://schemas.microsoft.com/office/drawing/2015/06/chart">
            <c:ext xmlns:c16="http://schemas.microsoft.com/office/drawing/2014/chart" uri="{C3380CC4-5D6E-409C-BE32-E72D297353CC}">
              <c16:uniqueId val="{00000002-1850-413C-A5AE-A0C8A5B44BA7}"/>
            </c:ext>
          </c:extLst>
        </c:ser>
        <c:ser>
          <c:idx val="3"/>
          <c:order val="3"/>
          <c:tx>
            <c:strRef>
              <c:f>mirtys100tūkst!$A$5</c:f>
              <c:strCache>
                <c:ptCount val="1"/>
                <c:pt idx="0">
                  <c:v>Panevėžys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mirtys100tūkst!$B$5:$H$5</c:f>
              <c:numCache>
                <c:formatCode>General</c:formatCode>
                <c:ptCount val="7"/>
                <c:pt idx="0">
                  <c:v>1863</c:v>
                </c:pt>
                <c:pt idx="1">
                  <c:v>1841</c:v>
                </c:pt>
                <c:pt idx="2">
                  <c:v>1820</c:v>
                </c:pt>
                <c:pt idx="3">
                  <c:v>1914</c:v>
                </c:pt>
                <c:pt idx="4">
                  <c:v>2069</c:v>
                </c:pt>
                <c:pt idx="5">
                  <c:v>2067</c:v>
                </c:pt>
                <c:pt idx="6">
                  <c:v>1998</c:v>
                </c:pt>
              </c:numCache>
            </c:numRef>
          </c:val>
          <c:smooth val="0"/>
          <c:extLst xmlns:c16r2="http://schemas.microsoft.com/office/drawing/2015/06/chart">
            <c:ext xmlns:c16="http://schemas.microsoft.com/office/drawing/2014/chart" uri="{C3380CC4-5D6E-409C-BE32-E72D297353CC}">
              <c16:uniqueId val="{00000003-1850-413C-A5AE-A0C8A5B44BA7}"/>
            </c:ext>
          </c:extLst>
        </c:ser>
        <c:ser>
          <c:idx val="4"/>
          <c:order val="4"/>
          <c:tx>
            <c:strRef>
              <c:f>mirtys100tūkst!$A$6</c:f>
              <c:strCache>
                <c:ptCount val="1"/>
                <c:pt idx="0">
                  <c:v>Šiauliai </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mirtys100tūkst!$B$6:$H$6</c:f>
              <c:numCache>
                <c:formatCode>General</c:formatCode>
                <c:ptCount val="7"/>
                <c:pt idx="0">
                  <c:v>1827</c:v>
                </c:pt>
                <c:pt idx="1">
                  <c:v>1826</c:v>
                </c:pt>
                <c:pt idx="2">
                  <c:v>1748</c:v>
                </c:pt>
                <c:pt idx="3">
                  <c:v>1793</c:v>
                </c:pt>
                <c:pt idx="4">
                  <c:v>1881</c:v>
                </c:pt>
                <c:pt idx="5">
                  <c:v>1929</c:v>
                </c:pt>
                <c:pt idx="6">
                  <c:v>1768</c:v>
                </c:pt>
              </c:numCache>
            </c:numRef>
          </c:val>
          <c:smooth val="0"/>
          <c:extLst xmlns:c16r2="http://schemas.microsoft.com/office/drawing/2015/06/chart">
            <c:ext xmlns:c16="http://schemas.microsoft.com/office/drawing/2014/chart" uri="{C3380CC4-5D6E-409C-BE32-E72D297353CC}">
              <c16:uniqueId val="{00000004-1850-413C-A5AE-A0C8A5B44BA7}"/>
            </c:ext>
          </c:extLst>
        </c:ser>
        <c:ser>
          <c:idx val="5"/>
          <c:order val="5"/>
          <c:tx>
            <c:strRef>
              <c:f>mirtys100tūkst!$A$7</c:f>
              <c:strCache>
                <c:ptCount val="1"/>
                <c:pt idx="0">
                  <c:v>Mažeikiai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mirtys100tūkst!$B$7:$H$7</c:f>
              <c:numCache>
                <c:formatCode>General</c:formatCode>
                <c:ptCount val="7"/>
                <c:pt idx="0">
                  <c:v>1755</c:v>
                </c:pt>
                <c:pt idx="1">
                  <c:v>1683</c:v>
                </c:pt>
                <c:pt idx="2">
                  <c:v>1744</c:v>
                </c:pt>
                <c:pt idx="3">
                  <c:v>1836</c:v>
                </c:pt>
                <c:pt idx="4">
                  <c:v>1603</c:v>
                </c:pt>
                <c:pt idx="5">
                  <c:v>2526</c:v>
                </c:pt>
                <c:pt idx="6">
                  <c:v>1996</c:v>
                </c:pt>
              </c:numCache>
            </c:numRef>
          </c:val>
          <c:smooth val="0"/>
          <c:extLst xmlns:c16r2="http://schemas.microsoft.com/office/drawing/2015/06/chart">
            <c:ext xmlns:c16="http://schemas.microsoft.com/office/drawing/2014/chart" uri="{C3380CC4-5D6E-409C-BE32-E72D297353CC}">
              <c16:uniqueId val="{00000005-1850-413C-A5AE-A0C8A5B44BA7}"/>
            </c:ext>
          </c:extLst>
        </c:ser>
        <c:ser>
          <c:idx val="6"/>
          <c:order val="6"/>
          <c:tx>
            <c:strRef>
              <c:f>mirtys100tūkst!$A$8</c:f>
              <c:strCache>
                <c:ptCount val="1"/>
                <c:pt idx="0">
                  <c:v>Naujoji Akmenė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mirtys100tūkst!$B$8:$H$8</c:f>
              <c:numCache>
                <c:formatCode>General</c:formatCode>
                <c:ptCount val="7"/>
                <c:pt idx="0">
                  <c:v>4079</c:v>
                </c:pt>
                <c:pt idx="1">
                  <c:v>4167</c:v>
                </c:pt>
                <c:pt idx="2">
                  <c:v>4623</c:v>
                </c:pt>
                <c:pt idx="3">
                  <c:v>3971</c:v>
                </c:pt>
                <c:pt idx="4">
                  <c:v>5068</c:v>
                </c:pt>
                <c:pt idx="5">
                  <c:v>4474</c:v>
                </c:pt>
                <c:pt idx="6">
                  <c:v>3190</c:v>
                </c:pt>
              </c:numCache>
            </c:numRef>
          </c:val>
          <c:smooth val="0"/>
          <c:extLst xmlns:c16r2="http://schemas.microsoft.com/office/drawing/2015/06/chart">
            <c:ext xmlns:c16="http://schemas.microsoft.com/office/drawing/2014/chart" uri="{C3380CC4-5D6E-409C-BE32-E72D297353CC}">
              <c16:uniqueId val="{00000006-1850-413C-A5AE-A0C8A5B44BA7}"/>
            </c:ext>
          </c:extLst>
        </c:ser>
        <c:ser>
          <c:idx val="7"/>
          <c:order val="7"/>
          <c:tx>
            <c:strRef>
              <c:f>mirtys100tūkst!$A$9</c:f>
              <c:strCache>
                <c:ptCount val="1"/>
                <c:pt idx="0">
                  <c:v>Jonava </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mirtys100tūkst!$B$9:$H$9</c:f>
              <c:numCache>
                <c:formatCode>General</c:formatCode>
                <c:ptCount val="7"/>
                <c:pt idx="0">
                  <c:v>1931</c:v>
                </c:pt>
                <c:pt idx="1">
                  <c:v>1954</c:v>
                </c:pt>
                <c:pt idx="2">
                  <c:v>1924</c:v>
                </c:pt>
                <c:pt idx="3">
                  <c:v>2090</c:v>
                </c:pt>
                <c:pt idx="4">
                  <c:v>2179</c:v>
                </c:pt>
                <c:pt idx="5">
                  <c:v>2286</c:v>
                </c:pt>
                <c:pt idx="6">
                  <c:v>2458</c:v>
                </c:pt>
              </c:numCache>
            </c:numRef>
          </c:val>
          <c:smooth val="0"/>
          <c:extLst xmlns:c16r2="http://schemas.microsoft.com/office/drawing/2015/06/chart">
            <c:ext xmlns:c16="http://schemas.microsoft.com/office/drawing/2014/chart" uri="{C3380CC4-5D6E-409C-BE32-E72D297353CC}">
              <c16:uniqueId val="{00000007-1850-413C-A5AE-A0C8A5B44BA7}"/>
            </c:ext>
          </c:extLst>
        </c:ser>
        <c:ser>
          <c:idx val="8"/>
          <c:order val="8"/>
          <c:tx>
            <c:strRef>
              <c:f>mirtys100tūkst!$A$10</c:f>
              <c:strCache>
                <c:ptCount val="1"/>
                <c:pt idx="0">
                  <c:v>Kėdainiai </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mirtys100tūkst!$B$1:$H$1</c:f>
              <c:strCache>
                <c:ptCount val="7"/>
                <c:pt idx="0">
                  <c:v>2015–2017</c:v>
                </c:pt>
                <c:pt idx="1">
                  <c:v>2016–2018</c:v>
                </c:pt>
                <c:pt idx="2">
                  <c:v>2017–2019</c:v>
                </c:pt>
                <c:pt idx="3">
                  <c:v>2018–2020</c:v>
                </c:pt>
                <c:pt idx="4">
                  <c:v>2019–2021</c:v>
                </c:pt>
                <c:pt idx="5">
                  <c:v>2020-2022</c:v>
                </c:pt>
                <c:pt idx="6">
                  <c:v>2021-2023</c:v>
                </c:pt>
              </c:strCache>
            </c:strRef>
          </c:cat>
          <c:val>
            <c:numRef>
              <c:f>mirtys100tūkst!$B$10:$H$10</c:f>
              <c:numCache>
                <c:formatCode>General</c:formatCode>
                <c:ptCount val="7"/>
                <c:pt idx="0">
                  <c:v>2016</c:v>
                </c:pt>
                <c:pt idx="1">
                  <c:v>1978</c:v>
                </c:pt>
                <c:pt idx="2">
                  <c:v>1983</c:v>
                </c:pt>
                <c:pt idx="3">
                  <c:v>2090</c:v>
                </c:pt>
                <c:pt idx="4">
                  <c:v>2217</c:v>
                </c:pt>
                <c:pt idx="5">
                  <c:v>3785</c:v>
                </c:pt>
                <c:pt idx="6">
                  <c:v>2796</c:v>
                </c:pt>
              </c:numCache>
            </c:numRef>
          </c:val>
          <c:smooth val="0"/>
          <c:extLst xmlns:c16r2="http://schemas.microsoft.com/office/drawing/2015/06/chart">
            <c:ext xmlns:c16="http://schemas.microsoft.com/office/drawing/2014/chart" uri="{C3380CC4-5D6E-409C-BE32-E72D297353CC}">
              <c16:uniqueId val="{00000008-1850-413C-A5AE-A0C8A5B44BA7}"/>
            </c:ext>
          </c:extLst>
        </c:ser>
        <c:dLbls>
          <c:showLegendKey val="0"/>
          <c:showVal val="0"/>
          <c:showCatName val="0"/>
          <c:showSerName val="0"/>
          <c:showPercent val="0"/>
          <c:showBubbleSize val="0"/>
        </c:dLbls>
        <c:marker val="1"/>
        <c:smooth val="0"/>
        <c:axId val="171276288"/>
        <c:axId val="149176320"/>
      </c:lineChart>
      <c:catAx>
        <c:axId val="17127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49176320"/>
        <c:crosses val="autoZero"/>
        <c:auto val="1"/>
        <c:lblAlgn val="ctr"/>
        <c:lblOffset val="100"/>
        <c:noMultiLvlLbl val="0"/>
      </c:catAx>
      <c:valAx>
        <c:axId val="149176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17127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13F4-3937-4A40-91DB-5F416E880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7831</Words>
  <Characters>4464</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Ramunė Poliakovienė</dc:creator>
  <cp:lastModifiedBy>Lenovo</cp:lastModifiedBy>
  <cp:revision>2</cp:revision>
  <dcterms:created xsi:type="dcterms:W3CDTF">2025-01-13T11:05:00Z</dcterms:created>
  <dcterms:modified xsi:type="dcterms:W3CDTF">2025-01-13T11:05:00Z</dcterms:modified>
</cp:coreProperties>
</file>